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99C9F" w14:textId="77777777" w:rsidR="00A721FE" w:rsidRDefault="00A721FE" w:rsidP="00A721FE">
      <w:pPr>
        <w:jc w:val="center"/>
        <w:rPr>
          <w:lang w:val="en-US"/>
        </w:rPr>
      </w:pPr>
      <w:bookmarkStart w:id="0" w:name="_GoBack"/>
      <w:bookmarkEnd w:id="0"/>
    </w:p>
    <w:p w14:paraId="0DF35EF2" w14:textId="77777777" w:rsidR="00A721FE" w:rsidRDefault="00A721FE" w:rsidP="00A721FE">
      <w:pPr>
        <w:jc w:val="center"/>
        <w:rPr>
          <w:lang w:val="en-US"/>
        </w:rPr>
      </w:pPr>
    </w:p>
    <w:p w14:paraId="030A5701" w14:textId="77777777" w:rsidR="00A721FE" w:rsidRDefault="00A721FE" w:rsidP="00A721FE">
      <w:pPr>
        <w:jc w:val="center"/>
        <w:rPr>
          <w:lang w:val="en-US"/>
        </w:rPr>
      </w:pPr>
    </w:p>
    <w:p w14:paraId="4555EE8E" w14:textId="77777777" w:rsidR="00A721FE" w:rsidRDefault="00A721FE" w:rsidP="00A721FE">
      <w:pPr>
        <w:jc w:val="center"/>
        <w:rPr>
          <w:lang w:val="en-US"/>
        </w:rPr>
      </w:pPr>
    </w:p>
    <w:p w14:paraId="7BED12E0" w14:textId="77777777" w:rsidR="00A721FE" w:rsidRDefault="00A721FE" w:rsidP="00A721FE">
      <w:pPr>
        <w:jc w:val="center"/>
        <w:rPr>
          <w:lang w:val="en-US"/>
        </w:rPr>
      </w:pPr>
    </w:p>
    <w:p w14:paraId="272EA0DC" w14:textId="77777777" w:rsidR="00A721FE" w:rsidRDefault="00A721FE" w:rsidP="00A721FE">
      <w:pPr>
        <w:jc w:val="center"/>
        <w:rPr>
          <w:lang w:val="en-US"/>
        </w:rPr>
      </w:pPr>
    </w:p>
    <w:p w14:paraId="55E44AC8" w14:textId="77777777" w:rsidR="00A721FE" w:rsidRDefault="00A721FE" w:rsidP="00A721FE">
      <w:pPr>
        <w:jc w:val="center"/>
        <w:rPr>
          <w:lang w:val="en-US"/>
        </w:rPr>
      </w:pPr>
    </w:p>
    <w:p w14:paraId="05B19E33" w14:textId="77777777" w:rsidR="00A721FE" w:rsidRDefault="00A721FE" w:rsidP="00A721FE">
      <w:pPr>
        <w:jc w:val="center"/>
        <w:rPr>
          <w:lang w:val="en-US"/>
        </w:rPr>
      </w:pPr>
    </w:p>
    <w:p w14:paraId="74650978" w14:textId="77777777" w:rsidR="00A721FE" w:rsidRDefault="00A721FE" w:rsidP="00A721FE">
      <w:pPr>
        <w:jc w:val="center"/>
        <w:rPr>
          <w:lang w:val="en-US"/>
        </w:rPr>
      </w:pPr>
    </w:p>
    <w:p w14:paraId="402089DC" w14:textId="77777777" w:rsidR="00A721FE" w:rsidRDefault="00A721FE" w:rsidP="00A721FE">
      <w:pPr>
        <w:jc w:val="center"/>
        <w:rPr>
          <w:lang w:val="en-US"/>
        </w:rPr>
      </w:pPr>
    </w:p>
    <w:p w14:paraId="5DBC260E" w14:textId="77777777" w:rsidR="00A721FE" w:rsidRDefault="00A721FE" w:rsidP="00A721FE">
      <w:pPr>
        <w:jc w:val="center"/>
        <w:rPr>
          <w:lang w:val="en-US"/>
        </w:rPr>
      </w:pPr>
    </w:p>
    <w:p w14:paraId="02047944" w14:textId="77777777" w:rsidR="00A721FE" w:rsidRDefault="00A721FE" w:rsidP="00A721FE">
      <w:pPr>
        <w:jc w:val="center"/>
        <w:rPr>
          <w:lang w:val="en-US"/>
        </w:rPr>
      </w:pPr>
    </w:p>
    <w:p w14:paraId="0170B2C3" w14:textId="77777777" w:rsidR="00A721FE" w:rsidRDefault="00A721FE" w:rsidP="00A721FE">
      <w:pPr>
        <w:jc w:val="center"/>
        <w:rPr>
          <w:lang w:val="en-US"/>
        </w:rPr>
      </w:pPr>
    </w:p>
    <w:p w14:paraId="5397CCC0" w14:textId="77777777" w:rsidR="00A721FE" w:rsidRDefault="00A721FE" w:rsidP="00A721FE">
      <w:pPr>
        <w:jc w:val="center"/>
        <w:rPr>
          <w:lang w:val="en-US"/>
        </w:rPr>
      </w:pPr>
    </w:p>
    <w:p w14:paraId="6FC1BCD5" w14:textId="5B868B38" w:rsidR="00D84201" w:rsidRDefault="005F6AC9" w:rsidP="00A721FE">
      <w:pPr>
        <w:jc w:val="center"/>
        <w:rPr>
          <w:lang w:val="en-US"/>
        </w:rPr>
      </w:pPr>
      <w:r>
        <w:rPr>
          <w:lang w:val="en-US"/>
        </w:rPr>
        <w:t>Boundless energy drink business plan</w:t>
      </w:r>
    </w:p>
    <w:p w14:paraId="2F3B79EE" w14:textId="5580DC8B" w:rsidR="00A721FE" w:rsidRDefault="005F6AC9" w:rsidP="00A721FE">
      <w:pPr>
        <w:jc w:val="center"/>
        <w:rPr>
          <w:lang w:val="en-US"/>
        </w:rPr>
      </w:pPr>
      <w:r>
        <w:rPr>
          <w:lang w:val="en-US"/>
        </w:rPr>
        <w:t>Name</w:t>
      </w:r>
    </w:p>
    <w:p w14:paraId="33F929B6" w14:textId="0196B2E7" w:rsidR="00A721FE" w:rsidRDefault="005F6AC9" w:rsidP="00A721FE">
      <w:pPr>
        <w:jc w:val="center"/>
        <w:rPr>
          <w:lang w:val="en-US"/>
        </w:rPr>
      </w:pPr>
      <w:r>
        <w:rPr>
          <w:lang w:val="en-US"/>
        </w:rPr>
        <w:t>Institution</w:t>
      </w:r>
    </w:p>
    <w:p w14:paraId="0D59F088" w14:textId="4E6D561E" w:rsidR="00A721FE" w:rsidRDefault="00A721FE" w:rsidP="00A721FE">
      <w:pPr>
        <w:jc w:val="center"/>
        <w:rPr>
          <w:lang w:val="en-US"/>
        </w:rPr>
      </w:pPr>
    </w:p>
    <w:p w14:paraId="538D9187" w14:textId="7914DB48" w:rsidR="00A721FE" w:rsidRDefault="00A721FE" w:rsidP="00A721FE">
      <w:pPr>
        <w:jc w:val="center"/>
        <w:rPr>
          <w:lang w:val="en-US"/>
        </w:rPr>
      </w:pPr>
    </w:p>
    <w:p w14:paraId="302D40EF" w14:textId="5320DA54" w:rsidR="00A721FE" w:rsidRDefault="00A721FE" w:rsidP="00A721FE">
      <w:pPr>
        <w:jc w:val="center"/>
        <w:rPr>
          <w:lang w:val="en-US"/>
        </w:rPr>
      </w:pPr>
    </w:p>
    <w:p w14:paraId="2E64A9A0" w14:textId="66CC222F" w:rsidR="00A721FE" w:rsidRDefault="00A721FE" w:rsidP="00A721FE">
      <w:pPr>
        <w:jc w:val="center"/>
        <w:rPr>
          <w:lang w:val="en-US"/>
        </w:rPr>
      </w:pPr>
    </w:p>
    <w:p w14:paraId="404854B8" w14:textId="31E6E30C" w:rsidR="00A721FE" w:rsidRDefault="00A721FE" w:rsidP="00A721FE">
      <w:pPr>
        <w:jc w:val="center"/>
        <w:rPr>
          <w:lang w:val="en-US"/>
        </w:rPr>
      </w:pPr>
    </w:p>
    <w:p w14:paraId="01A112CA" w14:textId="1B5A712E" w:rsidR="00A721FE" w:rsidRDefault="00A721FE" w:rsidP="00A721FE">
      <w:pPr>
        <w:jc w:val="center"/>
        <w:rPr>
          <w:lang w:val="en-US"/>
        </w:rPr>
      </w:pPr>
    </w:p>
    <w:p w14:paraId="77B4A21D" w14:textId="67BC24E9" w:rsidR="00A721FE" w:rsidRDefault="00A721FE" w:rsidP="00A721FE">
      <w:pPr>
        <w:jc w:val="center"/>
        <w:rPr>
          <w:lang w:val="en-US"/>
        </w:rPr>
      </w:pPr>
    </w:p>
    <w:p w14:paraId="37E0F64E" w14:textId="4C55EB3F" w:rsidR="00A721FE" w:rsidRDefault="00A721FE" w:rsidP="00A721FE">
      <w:pPr>
        <w:jc w:val="center"/>
        <w:rPr>
          <w:lang w:val="en-US"/>
        </w:rPr>
      </w:pPr>
    </w:p>
    <w:p w14:paraId="172EB2B8" w14:textId="758B06B8" w:rsidR="00A721FE" w:rsidRDefault="00A721FE" w:rsidP="00A721FE">
      <w:pPr>
        <w:jc w:val="center"/>
        <w:rPr>
          <w:lang w:val="en-US"/>
        </w:rPr>
      </w:pPr>
    </w:p>
    <w:p w14:paraId="718DC4CA" w14:textId="66C374A3" w:rsidR="00A721FE" w:rsidRDefault="00A721FE" w:rsidP="00A721FE">
      <w:pPr>
        <w:jc w:val="center"/>
        <w:rPr>
          <w:lang w:val="en-US"/>
        </w:rPr>
      </w:pPr>
    </w:p>
    <w:p w14:paraId="735E89C6" w14:textId="0CD854BD" w:rsidR="00A721FE" w:rsidRDefault="00A721FE" w:rsidP="00A721FE">
      <w:pPr>
        <w:jc w:val="center"/>
        <w:rPr>
          <w:lang w:val="en-US"/>
        </w:rPr>
      </w:pPr>
    </w:p>
    <w:p w14:paraId="62378809" w14:textId="77777777" w:rsidR="00A721FE" w:rsidRDefault="00A721FE" w:rsidP="00A721FE">
      <w:pPr>
        <w:jc w:val="center"/>
        <w:rPr>
          <w:lang w:val="en-US"/>
        </w:rPr>
      </w:pPr>
    </w:p>
    <w:p w14:paraId="0AD9BB15" w14:textId="77777777" w:rsidR="00A721FE" w:rsidRDefault="00A721FE" w:rsidP="00D84201">
      <w:pPr>
        <w:jc w:val="both"/>
        <w:rPr>
          <w:lang w:val="en-US"/>
        </w:rPr>
      </w:pPr>
    </w:p>
    <w:p w14:paraId="0C889BF2" w14:textId="2AEE66F0" w:rsidR="00A721FE" w:rsidRDefault="005F6AC9" w:rsidP="00A721FE">
      <w:pPr>
        <w:jc w:val="center"/>
        <w:rPr>
          <w:lang w:val="en-US"/>
        </w:rPr>
      </w:pPr>
      <w:r>
        <w:rPr>
          <w:lang w:val="en-US"/>
        </w:rPr>
        <w:lastRenderedPageBreak/>
        <w:t>Executive summary</w:t>
      </w:r>
    </w:p>
    <w:p w14:paraId="6DD558A4" w14:textId="334D4488" w:rsidR="00854E15" w:rsidRDefault="005F6AC9" w:rsidP="00A721FE">
      <w:pPr>
        <w:spacing w:line="480" w:lineRule="auto"/>
        <w:jc w:val="both"/>
        <w:rPr>
          <w:lang w:val="en-US"/>
        </w:rPr>
      </w:pPr>
      <w:r w:rsidRPr="00D84201">
        <w:rPr>
          <w:lang w:val="en-US"/>
        </w:rPr>
        <w:t>A business plan forms an essential aspect of organizational engagement. It provides a critical focus on which the organization can focus on ensuring that they have a better understanding of the market based on its significant analysis of the organization's position.</w:t>
      </w:r>
      <w:r w:rsidR="00BE4605">
        <w:rPr>
          <w:lang w:val="en-US"/>
        </w:rPr>
        <w:t xml:space="preserve"> Every business organization integrates various </w:t>
      </w:r>
      <w:r w:rsidR="00975428">
        <w:rPr>
          <w:lang w:val="en-US"/>
        </w:rPr>
        <w:t xml:space="preserve">measures that are aimed at ensuring that any new product that is developed is successful. There is a need to focus on the needs of the target market to understand the criteria and methods that need to be considered in shaping the overall need for the product. This gap exists within the industry in which companies have been thinking to exploit. Monster Corporation is one of the highly engaged companies within the industry, having a fair share of the industry market. </w:t>
      </w:r>
      <w:r>
        <w:rPr>
          <w:lang w:val="en-US"/>
        </w:rPr>
        <w:t>Therefore this business plan provides a strong focus on</w:t>
      </w:r>
      <w:r w:rsidR="00975428">
        <w:rPr>
          <w:lang w:val="en-US"/>
        </w:rPr>
        <w:t xml:space="preserve"> a new product called Boundless energy soft drink that is a naturally blended energy drink with no artificial additives. The plan will provide an assessment of the current market and determination on whether the product will be successful in the market based on the current business trends in </w:t>
      </w:r>
      <w:r>
        <w:rPr>
          <w:lang w:val="en-US"/>
        </w:rPr>
        <w:t>the soft drink industry.</w:t>
      </w:r>
    </w:p>
    <w:p w14:paraId="2AB47342" w14:textId="67B66E69" w:rsidR="00A721FE" w:rsidRDefault="00A721FE" w:rsidP="00A721FE">
      <w:pPr>
        <w:spacing w:line="480" w:lineRule="auto"/>
        <w:jc w:val="both"/>
        <w:rPr>
          <w:lang w:val="en-US"/>
        </w:rPr>
      </w:pPr>
    </w:p>
    <w:p w14:paraId="5CB69E44" w14:textId="64E274A9" w:rsidR="00A721FE" w:rsidRDefault="00A721FE" w:rsidP="00A721FE">
      <w:pPr>
        <w:spacing w:line="480" w:lineRule="auto"/>
        <w:jc w:val="both"/>
        <w:rPr>
          <w:lang w:val="en-US"/>
        </w:rPr>
      </w:pPr>
    </w:p>
    <w:p w14:paraId="5EA26F0E" w14:textId="188B4900" w:rsidR="00A721FE" w:rsidRDefault="00A721FE" w:rsidP="00A721FE">
      <w:pPr>
        <w:spacing w:line="480" w:lineRule="auto"/>
        <w:jc w:val="both"/>
        <w:rPr>
          <w:lang w:val="en-US"/>
        </w:rPr>
      </w:pPr>
    </w:p>
    <w:p w14:paraId="327C4178" w14:textId="63E86279" w:rsidR="00A721FE" w:rsidRDefault="00A721FE" w:rsidP="00A721FE">
      <w:pPr>
        <w:spacing w:line="480" w:lineRule="auto"/>
        <w:jc w:val="both"/>
        <w:rPr>
          <w:lang w:val="en-US"/>
        </w:rPr>
      </w:pPr>
    </w:p>
    <w:p w14:paraId="6516998A" w14:textId="2F0D3E51" w:rsidR="00A721FE" w:rsidRDefault="00A721FE" w:rsidP="00A721FE">
      <w:pPr>
        <w:spacing w:line="480" w:lineRule="auto"/>
        <w:jc w:val="both"/>
        <w:rPr>
          <w:lang w:val="en-US"/>
        </w:rPr>
      </w:pPr>
    </w:p>
    <w:p w14:paraId="2A1C7495" w14:textId="4C78CE6C" w:rsidR="00A721FE" w:rsidRDefault="00A721FE" w:rsidP="00A721FE">
      <w:pPr>
        <w:spacing w:line="480" w:lineRule="auto"/>
        <w:jc w:val="both"/>
        <w:rPr>
          <w:lang w:val="en-US"/>
        </w:rPr>
      </w:pPr>
    </w:p>
    <w:p w14:paraId="5193DF99" w14:textId="30F5CCAC" w:rsidR="00A721FE" w:rsidRDefault="00A721FE" w:rsidP="00A721FE">
      <w:pPr>
        <w:spacing w:line="480" w:lineRule="auto"/>
        <w:jc w:val="both"/>
        <w:rPr>
          <w:lang w:val="en-US"/>
        </w:rPr>
      </w:pPr>
    </w:p>
    <w:p w14:paraId="60B99F06" w14:textId="4C16A064" w:rsidR="00A721FE" w:rsidRDefault="00A721FE" w:rsidP="00A721FE">
      <w:pPr>
        <w:spacing w:line="480" w:lineRule="auto"/>
        <w:jc w:val="both"/>
        <w:rPr>
          <w:lang w:val="en-US"/>
        </w:rPr>
      </w:pPr>
    </w:p>
    <w:p w14:paraId="1B13F5CC" w14:textId="77777777" w:rsidR="00A721FE" w:rsidRDefault="00A721FE" w:rsidP="00A721FE">
      <w:pPr>
        <w:spacing w:line="480" w:lineRule="auto"/>
        <w:jc w:val="both"/>
        <w:rPr>
          <w:lang w:val="en-US"/>
        </w:rPr>
      </w:pPr>
    </w:p>
    <w:p w14:paraId="3030F9F2" w14:textId="28797B0B" w:rsidR="00D84201" w:rsidRDefault="005F6AC9" w:rsidP="00740F39">
      <w:pPr>
        <w:spacing w:line="480" w:lineRule="auto"/>
        <w:ind w:firstLine="720"/>
        <w:jc w:val="both"/>
        <w:rPr>
          <w:lang w:val="en-US"/>
        </w:rPr>
      </w:pPr>
      <w:r>
        <w:rPr>
          <w:lang w:val="en-US"/>
        </w:rPr>
        <w:lastRenderedPageBreak/>
        <w:t xml:space="preserve">Company background </w:t>
      </w:r>
    </w:p>
    <w:p w14:paraId="61F7C528" w14:textId="7432A087" w:rsidR="00D84201" w:rsidRDefault="005F6AC9" w:rsidP="00740F39">
      <w:pPr>
        <w:spacing w:line="480" w:lineRule="auto"/>
        <w:ind w:firstLine="720"/>
        <w:jc w:val="both"/>
        <w:rPr>
          <w:lang w:val="en-US"/>
        </w:rPr>
      </w:pPr>
      <w:r>
        <w:rPr>
          <w:lang w:val="en-US"/>
        </w:rPr>
        <w:t xml:space="preserve">Monster Energy Corporation </w:t>
      </w:r>
      <w:r w:rsidR="000165EB">
        <w:rPr>
          <w:lang w:val="en-US"/>
        </w:rPr>
        <w:t xml:space="preserve">is an American beverage company that specializes in the production of energy drinks such as Burn, Monster Energy, and Relentless. The company began in 1935, where it initially focused on selling juice products before transforming into an energy drink company with a significant share of the soft drink and energy drinks. In 2015, the company sold its non-energy drink brands to Coca Cola. The company has had a substantial influence on the energy drink industry, accounting for approximately 35% of the entire energy drink market in the United States, which is roughly $32 billion. The need to diversify the company operations has been one of the most effective strategies that the company has adopted. The industry is broad; hence, it is crucial to assess the changes that the new product will bring </w:t>
      </w:r>
      <w:r w:rsidR="00AD7F67">
        <w:rPr>
          <w:lang w:val="en-US"/>
        </w:rPr>
        <w:t>to increase market share and to develop a highly sustainable business development</w:t>
      </w:r>
      <w:r w:rsidR="009A27F7">
        <w:rPr>
          <w:lang w:val="en-US"/>
        </w:rPr>
        <w:t xml:space="preserve"> </w:t>
      </w:r>
      <w:r w:rsidR="009A27F7">
        <w:rPr>
          <w:lang w:val="en-US"/>
        </w:rPr>
        <w:fldChar w:fldCharType="begin" w:fldLock="1"/>
      </w:r>
      <w:r w:rsidR="009A27F7">
        <w:rPr>
          <w:lang w:val="en-US"/>
        </w:rPr>
        <w:instrText>ADDIN CSL_CITATION {"citationItems":[{"id":"ITEM-1","itemData":{"abstract":"; LONDON, Nov. 6, 2017 /PRNewswire/ -- About Soft DrinkSoft drinks are non-alcoholic beverages made from varying ingredients. These are referred as liquid refreshments. The market includes carbonated soft drinks, bottled water, Ready to Drink (RTD) tea and coffee, juices and juice concentrates, and functional drinks. The market excludes non-alcoholic beverages like hot beverages and dairy beverages. Soft drinks are served either cold or at normal room temperature.Download the full report: https://www.reportbuyer.com/product/3712207Technavio's analysts forecast the global soft drink market to grow at a CAGR of 5.62% during the period 2017-2021.Covered in this reportThe report covers the present scenario and the growth prospects of the global soft drink market for 2017-2021. The report presents a detailed picture of the market by way of study, synthesis, and summation of data from multiple sources.The market is divided into the following segments based on geography:• Americas• APAC• EMEATechnavio's report, Global Soft Drink Market 2017-2021, has been prepared based on an in-depth market analysis with inputs from industry experts. The report covers the market landscape and its growth prospects over the coming years. The report also includes a discussion of the key vendors operating in this market.Key vendors• Danone• Nestlé Waters• PepsiCo• Red Bull• The Coca-Cola CompanyOther prominent vendors• Arizona Beverages• Bai• Britvic• Citrus World• Dabur• Hydro One Beverages• Inko's Tea• Innocent Drinks• Invo8• H.J. Heinz Company Brands• MD Drinks• Monster Beverage Corporation• Newman's own• Old Orchard Brands• Parle foods• Prairie farms dairy• Rockstar Energy Drink• Royal Pacific International• RUNA• Staminade• Sunny Delight Beverages• Tampico• Ting Hsin International Group• Tradewinds beverage• Trend Food International• Turkey Hill Dairy• Unilever Group• Uni-President• White Rock BeveragesMarket driver• Premiumization of soft drinks• For a full, detailed list, view our reportMarket challenge• Effect of counterfeit products• For a full, detailed list, view our reportMarket trend• Rise of super-premium drinks• For a full, detailed list, view our reportKey questions answered in this report• What will the market size be in 2021 and what will the growth rate be?• What are the key market trends?• What is driving this market?• What are the challenges to market growth?• Who are the key vendors in this market space?You can request one free hour of our analyst's time whe…","author":[{"dropping-particle":"","family":"Newswire","given":"P R","non-dropping-particle":"","parse-names":false,"suffix":""}],"container-title":"LON-Reportbuyer","id":"ITEM-1","issued":{"date-parts":[["2017"]]},"title":"The global soft drink market is forecasted to grow at a CAGR of 5.62% during the period 2017-2021","type":"article"},"uris":["http://www.mendeley.com/documents/?uuid=f7347109-0cdb-46e8-a985-6e0be26412c5","http://www.mendeley.com/documents/?uuid=22415474-d9df-4110-981e-bd2a5ae67138"]}],"mendeley":{"formattedCitation":"(Newswire, 2017)","plainTextFormattedCitation":"(Newswire, 2017)","previouslyFormattedCitation":"(Newswire, 2017)"},"properties":{"noteIndex":0},"schema":"https://github.com/citation-style-language/schema/raw/master/csl-citation.json"}</w:instrText>
      </w:r>
      <w:r w:rsidR="009A27F7">
        <w:rPr>
          <w:lang w:val="en-US"/>
        </w:rPr>
        <w:fldChar w:fldCharType="separate"/>
      </w:r>
      <w:r w:rsidR="009A27F7" w:rsidRPr="009A27F7">
        <w:rPr>
          <w:noProof/>
          <w:lang w:val="en-US"/>
        </w:rPr>
        <w:t>(Newswire, 2017)</w:t>
      </w:r>
      <w:r w:rsidR="009A27F7">
        <w:rPr>
          <w:lang w:val="en-US"/>
        </w:rPr>
        <w:fldChar w:fldCharType="end"/>
      </w:r>
      <w:r w:rsidR="00AD7F67">
        <w:rPr>
          <w:lang w:val="en-US"/>
        </w:rPr>
        <w:t>.</w:t>
      </w:r>
    </w:p>
    <w:p w14:paraId="123199D7" w14:textId="75942278" w:rsidR="00D84201" w:rsidRPr="00D84201" w:rsidRDefault="005F6AC9" w:rsidP="00740F39">
      <w:pPr>
        <w:spacing w:line="480" w:lineRule="auto"/>
        <w:ind w:firstLine="720"/>
        <w:jc w:val="both"/>
        <w:rPr>
          <w:lang w:val="en-US"/>
        </w:rPr>
      </w:pPr>
      <w:r>
        <w:rPr>
          <w:lang w:val="en-US"/>
        </w:rPr>
        <w:t>The</w:t>
      </w:r>
      <w:r w:rsidRPr="00D84201">
        <w:rPr>
          <w:lang w:val="en-US"/>
        </w:rPr>
        <w:t xml:space="preserve"> company's mission, vision, and core values, which will provide a greater focus for the company in ensuring that it is successful within the s industry. These three critical elements within organizational development will provide a better environment where the company will be significantly engaged. This will ensure a better and quality measures are put in place to create a more explicit strategy, which the company can use to gain a competitive advantage in the market. The development of the company needs to be a strategic and systematic process that significantly considers different elements, such as the mission, goals, and key competencies. These factors are the primary driving force behind the ability of the company to improve its performance to realize its key objectives and goals that have been outlined</w:t>
      </w:r>
      <w:r w:rsidR="009A27F7">
        <w:rPr>
          <w:lang w:val="en-US"/>
        </w:rPr>
        <w:t xml:space="preserve"> </w:t>
      </w:r>
      <w:r w:rsidR="009A27F7">
        <w:rPr>
          <w:lang w:val="en-US"/>
        </w:rPr>
        <w:fldChar w:fldCharType="begin" w:fldLock="1"/>
      </w:r>
      <w:r w:rsidR="00E66374">
        <w:rPr>
          <w:lang w:val="en-US"/>
        </w:rPr>
        <w:instrText>ADDIN CSL_CITATION {"citationItems":[{"id":"ITEM-1","itemData":{"DOI":"10.1186/1550-2783-11-2","ISSN":"15502783","abstract":"Background: Currently, there are few studies on the cardiovascular and fatigue effects of commercially available energy drinks. This study investigated the effects of Monster energy drink (Monster Beverage Corporation, Corona, California), on resting heart rate (HR), heart rate variability (HRV), ride time-to-exhaustion, peak exercise HR, respiratory exchange ratio (RER), and peak rating of perceived exertion (RPE). Methods: The study used a double-blind, randomized, placebo controlled, crossover design. After an 8-hr fast, 15 subjects consumed Monster Energy Drink (ED standardized to 2.0 mg * kg-1 caffeine) or a flavor-matched placebo preexercise. Resting HR and HRV were determined. After an initial submaximal workload for 30 minutes, subjects completed 10 min at 80% ventilatory threshold (VT) and rode until volitional fatigue at 100% VT. Results: Resting HR was significantly different (ED: 65+/-10 bpm vs. placebo: 58+/-8 bpm, p = 0.02), but resting HRV was not different between the energy drink and placebo trials. Ride time-to-exhaustion was not significantly different between trials (ED: 45.5+/- 9.8 vs. placebo: 43.8+/-9.3 min, p = 0.62). No difference in peak RPE (ED: 9.1 +/- 0.5 vs. placebo: 9.0 +/- 0.8, p = 1.00) nor peak HR (ED: 177 +/- 11 vs. placebo: 175 +/- 12, p = 0.73) was seen. The RER at 30% of VT was significantly different (ED: 0.94 +/- 0.06 vs. placebo: 0.91 +/- 0.05, p = 0.046), but no difference between the two conditions were seen at the other intensities. Conclusion: Although preexercise ingestion of the energy drink does increase resting HR there was no alteration in HRV parameters. Ride time-to-exhaustion was not enhanced. © 2014 Nelson et al.; licensee BioMed Central Ltd.","author":[{"dropping-particle":"","family":"Nelson","given":"Michael T.","non-dropping-particle":"","parse-names":false,"suffix":""},{"dropping-particle":"","family":"Biltz","given":"George R.","non-dropping-particle":"","parse-names":false,"suffix":""},{"dropping-particle":"","family":"Dengel","given":"Donald R.","non-dropping-particle":"","parse-names":false,"suffix":""}],"container-title":"Journal of the International Society of Sports Nutrition","id":"ITEM-1","issued":{"date-parts":[["2014"]]},"title":"Cardiovascular and ride time-to-exhaustion effects of an energy drink","type":"article-journal"},"uris":["http://www.mendeley.com/documents/?uuid=bfcd77ac-bd17-4877-8f66-78127091a4fd","http://www.mendeley.com/documents/?uuid=ceefd85d-1a40-4210-9edc-bcb63cfdb9e1"]}],"mendeley":{"formattedCitation":"(Nelson, Biltz, &amp; Dengel, 2014)","plainTextFormattedCitation":"(Nelson, Biltz, &amp; Dengel, 2014)","previouslyFormattedCitation":"(Nelson, Biltz and Dengel, 2014)"},"properties":{"noteIndex":0},"schema":"https://github.com/citation-style-language/schema/raw/master/csl-citation.json"}</w:instrText>
      </w:r>
      <w:r w:rsidR="009A27F7">
        <w:rPr>
          <w:lang w:val="en-US"/>
        </w:rPr>
        <w:fldChar w:fldCharType="separate"/>
      </w:r>
      <w:r w:rsidR="00E66374" w:rsidRPr="00E66374">
        <w:rPr>
          <w:noProof/>
          <w:lang w:val="en-US"/>
        </w:rPr>
        <w:t>(Nelson, Biltz, &amp; Dengel, 2014)</w:t>
      </w:r>
      <w:r w:rsidR="009A27F7">
        <w:rPr>
          <w:lang w:val="en-US"/>
        </w:rPr>
        <w:fldChar w:fldCharType="end"/>
      </w:r>
      <w:r w:rsidR="006E41AB">
        <w:rPr>
          <w:lang w:val="en-US"/>
        </w:rPr>
        <w:t>.</w:t>
      </w:r>
    </w:p>
    <w:p w14:paraId="32E0A9F1" w14:textId="77777777" w:rsidR="00D84201" w:rsidRPr="00D84201" w:rsidRDefault="005F6AC9" w:rsidP="00740F39">
      <w:pPr>
        <w:spacing w:line="480" w:lineRule="auto"/>
        <w:ind w:firstLine="720"/>
        <w:jc w:val="both"/>
        <w:rPr>
          <w:lang w:val="en-US"/>
        </w:rPr>
      </w:pPr>
      <w:r w:rsidRPr="00D84201">
        <w:rPr>
          <w:lang w:val="en-US"/>
        </w:rPr>
        <w:t xml:space="preserve">The vision statement of the company will provide a clear environment where it will very easy to figure out what the organization hopes to achieve in the long term within the </w:t>
      </w:r>
      <w:r w:rsidRPr="00D84201">
        <w:rPr>
          <w:lang w:val="en-US"/>
        </w:rPr>
        <w:lastRenderedPageBreak/>
        <w:t>industry. Thus, the vision statement will provide a critical guiding principle, which will form the basis through which the company will be able to develop better strategies. This will be key in having a successful application of better measures, which will ensure that it is successful. Therefore, the company vision statement will be to be the world leader in the soft drink industry (Melewar et al., 2016).</w:t>
      </w:r>
    </w:p>
    <w:p w14:paraId="236C2006" w14:textId="40C9651E" w:rsidR="00D84201" w:rsidRPr="00D84201" w:rsidRDefault="00AD7F67" w:rsidP="00740F39">
      <w:pPr>
        <w:spacing w:line="480" w:lineRule="auto"/>
        <w:ind w:firstLine="720"/>
        <w:jc w:val="both"/>
        <w:rPr>
          <w:lang w:val="en-US"/>
        </w:rPr>
      </w:pPr>
      <w:r>
        <w:rPr>
          <w:lang w:val="en-US"/>
        </w:rPr>
        <w:t>Boundless</w:t>
      </w:r>
      <w:r w:rsidR="005F6AC9" w:rsidRPr="00D84201">
        <w:rPr>
          <w:lang w:val="en-US"/>
        </w:rPr>
        <w:t xml:space="preserve"> Energy will be developed based on a well-connected operational network in different markets through the provision of high-quality marketing, which will play a very critical role in ensuring that the company is successful. Thus, the company will employ a highly rated group of experts who will create a better environment where the company will be able to have a better understanding of the crucial aspects of its organizational context. The company has conducted market research for a whole year, which has enabled it to have a better knowledge of the demands and preferences of the large pool of the market that is available</w:t>
      </w:r>
      <w:r w:rsidR="009A27F7">
        <w:rPr>
          <w:lang w:val="en-US"/>
        </w:rPr>
        <w:t xml:space="preserve"> </w:t>
      </w:r>
      <w:r w:rsidR="009A27F7">
        <w:rPr>
          <w:lang w:val="en-US"/>
        </w:rPr>
        <w:fldChar w:fldCharType="begin" w:fldLock="1"/>
      </w:r>
      <w:r w:rsidR="009A27F7">
        <w:rPr>
          <w:lang w:val="en-US"/>
        </w:rPr>
        <w:instrText>ADDIN CSL_CITATION {"citationItems":[{"id":"ITEM-1","itemData":{"abstract":"The workplace nemesis — apathy — is at it again, gaining strength in the shadows. Gallup found that only 13 percent of employees are engaged at work. And research performed by Deloitte discovered that 87 percent of companies rate engagement and retention as a high-priority problem, while 50 percent rate it as urgent. But companies will need more than traditional human resources tactics to combat the low-morale monster. A new superhero is needed — one that asks the hard questions, gets the right data, and empowers employees. What your company needs is people analytics. People analytics is the combination of the most important business intelligence data — namely, HR data and relational data — into insightful analytics that solve high-value business problems. This combination of business intelligence and big data about employees can be used to boost morale and identify quality workers. People are a company’s greatest asset because behind every product or service is a team member making important decisions. Companies that use people analytics outperform their competitors in hiring, retention rates, and leadership capabilities. Just take a look at Google. Not only has the corporation used people analytics to determine the best workplace designs and predict a person’s likelihood of quitting, but it also used the data to create its famous “20 percent time” program to spur innovation and passion. People are a company’s greatest asset because behind every product or service is a team member making important decisions. People Analytics to the Rescue At my company, we believe people analytics should focus on two key components: relational data and traditional HR data. Relational data is information on how people connect and work together, while HR data is a broad categorization of the records HR departments already measure about employees (e.g., pay, engagement, and tenure). By combining these two metrics, people analytics uncovers the inner workings of your company. People analytics can actively measure the intangibles that seem impossible to track, such as collaboration, information sharing, and trust. Without this vital information, you could roll out an initiative to improve employee collaboration without knowing that most employee departmental groups don’t communicate with one another. Then, you’ll wonder why your efforts didn’t work. People analytics can actively measure the intangibles that seem impossible to track, such as collaboration, information sharin…","author":[{"dropping-particle":"","family":"Murphy","given":"Shawn","non-dropping-particle":"","parse-names":false,"suffix":""}],"container-title":"Switch &amp; Shift","id":"ITEM-1","issued":{"date-parts":[["2015"]]},"title":"People Analytics: The Secret to Eradicating Low Company Morale","type":"article-magazine"},"uris":["http://www.mendeley.com/documents/?uuid=2907bc2f-7076-4fea-9d9e-33ac55016550","http://www.mendeley.com/documents/?uuid=b829799d-a87e-42f6-9c5f-33686b7e59a8"]}],"mendeley":{"formattedCitation":"(Murphy, 2015)","plainTextFormattedCitation":"(Murphy, 2015)","previouslyFormattedCitation":"(Murphy, 2015)"},"properties":{"noteIndex":0},"schema":"https://github.com/citation-style-language/schema/raw/master/csl-citation.json"}</w:instrText>
      </w:r>
      <w:r w:rsidR="009A27F7">
        <w:rPr>
          <w:lang w:val="en-US"/>
        </w:rPr>
        <w:fldChar w:fldCharType="separate"/>
      </w:r>
      <w:r w:rsidR="009A27F7" w:rsidRPr="009A27F7">
        <w:rPr>
          <w:noProof/>
          <w:lang w:val="en-US"/>
        </w:rPr>
        <w:t>(Murphy, 2015)</w:t>
      </w:r>
      <w:r w:rsidR="009A27F7">
        <w:rPr>
          <w:lang w:val="en-US"/>
        </w:rPr>
        <w:fldChar w:fldCharType="end"/>
      </w:r>
      <w:r w:rsidR="009A27F7">
        <w:rPr>
          <w:lang w:val="en-US"/>
        </w:rPr>
        <w:t>.</w:t>
      </w:r>
    </w:p>
    <w:p w14:paraId="06154F8A" w14:textId="77777777" w:rsidR="00D84201" w:rsidRPr="00D84201" w:rsidRDefault="005F6AC9" w:rsidP="00740F39">
      <w:pPr>
        <w:spacing w:line="480" w:lineRule="auto"/>
        <w:ind w:firstLine="720"/>
        <w:jc w:val="both"/>
        <w:rPr>
          <w:lang w:val="en-US"/>
        </w:rPr>
      </w:pPr>
      <w:r w:rsidRPr="00D84201">
        <w:rPr>
          <w:lang w:val="en-US"/>
        </w:rPr>
        <w:t>Industry analysis and trends</w:t>
      </w:r>
    </w:p>
    <w:p w14:paraId="7A990DF0" w14:textId="5A974D62" w:rsidR="00D84201" w:rsidRPr="00D84201" w:rsidRDefault="005F6AC9" w:rsidP="00740F39">
      <w:pPr>
        <w:spacing w:line="480" w:lineRule="auto"/>
        <w:ind w:firstLine="720"/>
        <w:jc w:val="both"/>
        <w:rPr>
          <w:lang w:val="en-US"/>
        </w:rPr>
      </w:pPr>
      <w:r w:rsidRPr="00D84201">
        <w:rPr>
          <w:lang w:val="en-US"/>
        </w:rPr>
        <w:t xml:space="preserve">The soft drink industry is well engaged and dominated by major companies such as </w:t>
      </w:r>
      <w:r w:rsidR="00A564BA">
        <w:rPr>
          <w:lang w:val="en-US"/>
        </w:rPr>
        <w:t xml:space="preserve">Red Bull, </w:t>
      </w:r>
      <w:r w:rsidRPr="00D84201">
        <w:rPr>
          <w:lang w:val="en-US"/>
        </w:rPr>
        <w:t xml:space="preserve">Coca Cola, and Pepsi. These companies have an international presence, making them highly engaged with a diverse market, which boosts company performance. The dominance by these two significant companies has created a very distinct market where consumers have to choose between their products and thus creating a challenging environment where customers can choose or have access to other products in the market. The soft drink industry is diverse since there exists significant focus, which can be taken by companies, especially within energy drinks. The overall emphasis on different energy drinks in the industry, it is vital to understand the need to ensure that market is well taken care of to ensure that entry and exit within the industry </w:t>
      </w:r>
      <w:r w:rsidR="009A27F7">
        <w:rPr>
          <w:lang w:val="en-US"/>
        </w:rPr>
        <w:t xml:space="preserve">are straightforward </w:t>
      </w:r>
      <w:r w:rsidR="009A27F7">
        <w:rPr>
          <w:lang w:val="en-US"/>
        </w:rPr>
        <w:fldChar w:fldCharType="begin" w:fldLock="1"/>
      </w:r>
      <w:r w:rsidR="00E66374">
        <w:rPr>
          <w:lang w:val="en-US"/>
        </w:rPr>
        <w:instrText>ADDIN CSL_CITATION {"citationItems":[{"id":"ITEM-1","itemData":{"DOI":"10.2105/AJPH.2012.300974","ISSN":"00900036","abstract":"Objectives. We estimated the relationship between soft drink consumption and obesity and diabetes worldwide. Methods. We used multivariate linear regression to estimate the association between soft drink consumption and overweight, obesity, and diabetes prevalence in 75 countries, controlling for other foods (cereals, meats, fruits and vegetables, oils, and total calories), income, urbanization, and aging. Data were obtained from the Euromonitor Global Market Information Database, the World Health Organization, and the International Diabetes Federation. Bottled water consumption, which increased with per-capita income in parallel to soft drink consumption, served as a natural control group. Results. Soft drink consumption increased globally from 9.5 gallons per person per year in 1997 to 11.4 gallons in 2010. A 1% rise in soft drink consumption was associated with an additional 4.8 overweight adults per 100 (adjusted B; 95% confidence interval [CI] = 3.1, 6.5), 2.3 obese adults per 100 (95% CI = 1.1, 3.5), and 0.3 adults with diabetes per 100 (95% CI = 0.1, 0.8). These findings remained robust in low- and middle-income countries. Conclusions. Soft drink consumption is significantly linked to overweight, obesity, and diabetes worldwide, including in low- and middle-income countries. Copyright © 2013 by the American Public Health Association®.","author":[{"dropping-particle":"","family":"Basu","given":"Sanjay","non-dropping-particle":"","parse-names":false,"suffix":""},{"dropping-particle":"","family":"McKee","given":"Martin","non-dropping-particle":"","parse-names":false,"suffix":""},{"dropping-particle":"","family":"Galea","given":"Gauden","non-dropping-particle":"","parse-names":false,"suffix":""},{"dropping-particle":"","family":"Stuckler","given":"David","non-dropping-particle":"","parse-names":false,"suffix":""}],"container-title":"American Journal of Public Health","id":"ITEM-1","issued":{"date-parts":[["2013"]]},"title":"Relationship of soft drink consumption to global overweight, obesity, and diabetes: A cross-national analysis of 75 countries","type":"article-journal"},"uris":["http://www.mendeley.com/documents/?uuid=8d012185-ca21-4560-9b67-95ae2a8c585f","http://www.mendeley.com/documents/?uuid=b62f4790-dfb4-44de-a8d3-76d18c738e9b"]}],"mendeley":{"formattedCitation":"(Basu, McKee, Galea, &amp; Stuckler, 2013)","plainTextFormattedCitation":"(Basu, McKee, Galea, &amp; Stuckler, 2013)","previouslyFormattedCitation":"(Basu &lt;i&gt;et al.&lt;/i&gt;, 2013)"},"properties":{"noteIndex":0},"schema":"https://github.com/citation-style-language/schema/raw/master/csl-citation.json"}</w:instrText>
      </w:r>
      <w:r w:rsidR="009A27F7">
        <w:rPr>
          <w:lang w:val="en-US"/>
        </w:rPr>
        <w:fldChar w:fldCharType="separate"/>
      </w:r>
      <w:r w:rsidR="00E66374" w:rsidRPr="00E66374">
        <w:rPr>
          <w:noProof/>
          <w:lang w:val="en-US"/>
        </w:rPr>
        <w:t>(Basu, McKee, Galea, &amp; Stuckler, 2013)</w:t>
      </w:r>
      <w:r w:rsidR="009A27F7">
        <w:rPr>
          <w:lang w:val="en-US"/>
        </w:rPr>
        <w:fldChar w:fldCharType="end"/>
      </w:r>
      <w:r w:rsidR="006E41AB">
        <w:rPr>
          <w:lang w:val="en-US"/>
        </w:rPr>
        <w:t>.</w:t>
      </w:r>
    </w:p>
    <w:p w14:paraId="5CB8A1DA" w14:textId="40D60E21" w:rsidR="00D84201" w:rsidRDefault="005F6AC9" w:rsidP="00740F39">
      <w:pPr>
        <w:spacing w:line="480" w:lineRule="auto"/>
        <w:ind w:firstLine="720"/>
        <w:jc w:val="both"/>
        <w:rPr>
          <w:lang w:val="en-US"/>
        </w:rPr>
      </w:pPr>
      <w:r w:rsidRPr="00D84201">
        <w:rPr>
          <w:lang w:val="en-US"/>
        </w:rPr>
        <w:lastRenderedPageBreak/>
        <w:t>Over the years, with the changing consumer tastes, preferences, and lifestyles, there has been a need by companies to develop exemplary marketing strategies. Different companies within the industry have significantly embraced a new approach to ensure that they are not left behind, as it has established over the edge marketing strategies, with innovations of a range of lower and no sugar alternatives, each with their own identities. The companies have employed marketing strategies, including; product differentiation, 'one brand marketing strategy, market segmentation, cause marketing, and relationship marketing, among others. Because of the employment of strategies such as product differentiation, the companies have been able to improve sales and achieve sustainable competitive advantage over its rivals. Product differentiation is a concept of distinguishing a product or a service from others in the market to make it more attractive to a particular target market</w:t>
      </w:r>
      <w:r w:rsidR="009A27F7">
        <w:rPr>
          <w:lang w:val="en-US"/>
        </w:rPr>
        <w:t xml:space="preserve"> </w:t>
      </w:r>
      <w:r w:rsidR="009A27F7">
        <w:rPr>
          <w:lang w:val="en-US"/>
        </w:rPr>
        <w:fldChar w:fldCharType="begin" w:fldLock="1"/>
      </w:r>
      <w:r w:rsidR="00E66374">
        <w:rPr>
          <w:lang w:val="en-US"/>
        </w:rPr>
        <w:instrText>ADDIN CSL_CITATION {"citationItems":[{"id":"ITEM-1","itemData":{"DOI":"10.1007/s11367-012-0459-y","ISSN":"09483349","abstract":"Purpose: The UK carbonated drinks sector was worth £8 billion in 2010 and is growing at an annual rate of 4.9 %. In an attempt to provide a better understanding of the environmental impacts of this sector, this paper presents, for the first time, the full life cycle impacts of carbonated soft drinks manufactured and consumed in the UK. Two functional units are considered: 1 l of packaged drink and total annual production of carbonated drinks in the UK. The latter has been used to estimate the impacts at the sectoral level. The system boundary is from 'cradle to grave'. Different packaging used for carbonated drinks is considered: glass bottles (0.75 l), aluminium cans (0.33 l) and polyethylene terephthalate (PET) bottles (0.5 and 2 l). Materials and methods: The study has been carried out following the ISO 14040/44 life cycle assessment (LCA) methodology. Data have been sourced from a drink manufacturer as well as the CCaLC, Ecoinvent and Gabi databases. The LCA software tools CCaLC v2.0 and GaBi 4.3 have been used for LCA modelling. The environmental impacts have been estimated according to the CML 2001 method. Results and discussion: Packaging is the main hotspot for most environmental impacts, contributing between 59 and 77 %. The ingredients account between 7 and 14 % mainly due to sugar; the manufacturing stage contributes 5-10 %, largely due to the energy for filling and packaging. Refrigeration of the drink at retailer increases global warming potential by up to 33 %. Transport contributes up to 7 % to the total impacts. Conclusions: The drink packaged in 2 l PET bottles is the most sustainable option for most impacts, including the carbon footprint, while the drink in glass bottles is the worst option. However, reusing glass bottles three times would make the carbon footprint of the drink in glass bottles comparable to that in aluminium cans and 0.5 l PET bottles. If recycling of PET bottles is increased to 60 %, the glass bottle would need to be reused 20 times to make their carbon footprints comparable. The estimates at the sectoral level indicate that the carbonated drinks in the UK are responsible for over 1.5 million tonnes of CO 2 eq. emissions per year. This represented 13 % of the GHG emissions from the whole food and drink sector or 0.26 % of the UK total emissions in 2010. © 2012 Springer-Verlag.","author":[{"dropping-particle":"","family":"Amienyo","given":"David","non-dropping-particle":"","parse-names":false,"suffix":""},{"dropping-particle":"","family":"Gujba","given":"Haruna","non-dropping-particle":"","parse-names":false,"suffix":""},{"dropping-particle":"","family":"Stichnothe","given":"Heinz","non-dropping-particle":"","parse-names":false,"suffix":""},{"dropping-particle":"","family":"Azapagic","given":"Adisa","non-dropping-particle":"","parse-names":false,"suffix":""}],"container-title":"International Journal of Life Cycle Assessment","id":"ITEM-1","issued":{"date-parts":[["2013"]]},"title":"Life cycle environmental impacts of carbonated soft drinks","type":"article-journal"},"uris":["http://www.mendeley.com/documents/?uuid=6b62c519-3c7f-4dd6-b309-076d640d18f3","http://www.mendeley.com/documents/?uuid=fd12fab0-adb4-4a1a-b669-16eab6796701"]}],"mendeley":{"formattedCitation":"(Amienyo, Gujba, Stichnothe, &amp; Azapagic, 2013)","plainTextFormattedCitation":"(Amienyo, Gujba, Stichnothe, &amp; Azapagic, 2013)","previouslyFormattedCitation":"(Amienyo &lt;i&gt;et al.&lt;/i&gt;, 2013)"},"properties":{"noteIndex":0},"schema":"https://github.com/citation-style-language/schema/raw/master/csl-citation.json"}</w:instrText>
      </w:r>
      <w:r w:rsidR="009A27F7">
        <w:rPr>
          <w:lang w:val="en-US"/>
        </w:rPr>
        <w:fldChar w:fldCharType="separate"/>
      </w:r>
      <w:r w:rsidR="00E66374" w:rsidRPr="00E66374">
        <w:rPr>
          <w:noProof/>
          <w:lang w:val="en-US"/>
        </w:rPr>
        <w:t>(Amienyo, Gujba, Stichnothe, &amp; Azapagic, 2013)</w:t>
      </w:r>
      <w:r w:rsidR="009A27F7">
        <w:rPr>
          <w:lang w:val="en-US"/>
        </w:rPr>
        <w:fldChar w:fldCharType="end"/>
      </w:r>
      <w:r w:rsidR="006E41AB">
        <w:rPr>
          <w:lang w:val="en-US"/>
        </w:rPr>
        <w:t>.</w:t>
      </w:r>
    </w:p>
    <w:p w14:paraId="4F8D095D" w14:textId="578A0EB6" w:rsidR="00A564BA" w:rsidRPr="00D84201" w:rsidRDefault="005F6AC9" w:rsidP="00740F39">
      <w:pPr>
        <w:spacing w:line="480" w:lineRule="auto"/>
        <w:ind w:firstLine="720"/>
        <w:jc w:val="both"/>
        <w:rPr>
          <w:lang w:val="en-US"/>
        </w:rPr>
      </w:pPr>
      <w:r>
        <w:rPr>
          <w:lang w:val="en-US"/>
        </w:rPr>
        <w:t xml:space="preserve">Competitive advantage </w:t>
      </w:r>
    </w:p>
    <w:p w14:paraId="3226172A" w14:textId="04BB3C50" w:rsidR="00D84201" w:rsidRPr="00D84201" w:rsidRDefault="005F6AC9" w:rsidP="00740F39">
      <w:pPr>
        <w:spacing w:line="480" w:lineRule="auto"/>
        <w:ind w:firstLine="720"/>
        <w:jc w:val="both"/>
        <w:rPr>
          <w:lang w:val="en-US"/>
        </w:rPr>
      </w:pPr>
      <w:r w:rsidRPr="00D84201">
        <w:rPr>
          <w:lang w:val="en-US"/>
        </w:rPr>
        <w:t>Companies within the industry are trying to take on the advice of the consumers by eliminating extra sugars so that people while changing from consumption of sugar-added and carbonated drinks, can find a sponge to fall back on that is natural, dietary and healthy. The energy drinks' industry is growing by the day since it is a viable market whose importance is being recognized. The adverse effects of carbonated drinks and the need for drinks that may help with energizing people as well as slowly reducing the consumption of sugar-added beverages</w:t>
      </w:r>
      <w:r w:rsidR="009A27F7">
        <w:rPr>
          <w:lang w:val="en-US"/>
        </w:rPr>
        <w:t xml:space="preserve"> </w:t>
      </w:r>
      <w:r w:rsidR="009A27F7">
        <w:rPr>
          <w:lang w:val="en-US"/>
        </w:rPr>
        <w:fldChar w:fldCharType="begin" w:fldLock="1"/>
      </w:r>
      <w:r w:rsidR="00E66374">
        <w:rPr>
          <w:lang w:val="en-US"/>
        </w:rPr>
        <w:instrText>ADDIN CSL_CITATION {"citationItems":[{"id":"ITEM-1","itemData":{"DOI":"10.1097/01.ADM.0000435322.07020.53","ISSN":"19353227","abstract":"Objectives: Examine energy drink/shot and regular and diet soft drink use among United States secondary school students in 2010-2011, and associations between such use and substance use. Methods: We used self-reported data from cross-sectional surveys of nationally representative samples of 8th-, 10th-, and 12th-grade students and conducted multivariate analyses examining associations between beverage and substance use, controlling for individual and school characteristics. Results: Approximately 30% of students reported consuming energy drinks or shots; more than 40% reported daily regular soft drink use, and about 20% reported daily diet soft drink use. Beverage consumption was strongly and positively associated with past 30-day alcohol, cigarette, and illicit drug use. The observed associations between energy drinks and substance use were significantly stronger than those between regular or diet soft drinks and substance use. Conclusions: This correlational study indicates that adolescent consumption of energy drinks/shots is widespread and that energy drink users report heightened risk for substance use. This study does not establish causation between the behaviors. Education for parents and prevention efforts among adolescents should include education on the masking effects of caffeine in energy drinks on alcohol- and other substance-related impairments, and recognition that some groups (such as high sensation-seeking youth) may be particularly likely to consume energy drinks and to be substance users. © 2014 American Society of Addiction Medicine.","author":[{"dropping-particle":"","family":"Terry-McElrath","given":"Yvonne M.","non-dropping-particle":"","parse-names":false,"suffix":""},{"dropping-particle":"","family":"O'Malley","given":"Patrick M.","non-dropping-particle":"","parse-names":false,"suffix":""},{"dropping-particle":"","family":"Johnston","given":"Lloyd D.","non-dropping-particle":"","parse-names":false,"suffix":""}],"container-title":"Journal of Addiction Medicine","id":"ITEM-1","issued":{"date-parts":[["2014"]]},"title":"Energy drinks, soft drinks, and substance use among united states secondary school students","type":"article-journal"},"uris":["http://www.mendeley.com/documents/?uuid=6d8ea08b-2c67-4e32-b6f8-027d170d7d17","http://www.mendeley.com/documents/?uuid=e710034d-22c9-40d2-917a-882da2d84174"]}],"mendeley":{"formattedCitation":"(Terry-McElrath, O’Malley, &amp; Johnston, 2014)","plainTextFormattedCitation":"(Terry-McElrath, O’Malley, &amp; Johnston, 2014)","previouslyFormattedCitation":"(Terry-McElrath, O’Malley and Johnston, 2014)"},"properties":{"noteIndex":0},"schema":"https://github.com/citation-style-language/schema/raw/master/csl-citation.json"}</w:instrText>
      </w:r>
      <w:r w:rsidR="009A27F7">
        <w:rPr>
          <w:lang w:val="en-US"/>
        </w:rPr>
        <w:fldChar w:fldCharType="separate"/>
      </w:r>
      <w:r w:rsidR="00E66374" w:rsidRPr="00E66374">
        <w:rPr>
          <w:noProof/>
          <w:lang w:val="en-US"/>
        </w:rPr>
        <w:t>(Terry-McElrath, O’Malley, &amp; Johnston, 2014)</w:t>
      </w:r>
      <w:r w:rsidR="009A27F7">
        <w:rPr>
          <w:lang w:val="en-US"/>
        </w:rPr>
        <w:fldChar w:fldCharType="end"/>
      </w:r>
      <w:r w:rsidR="009A27F7">
        <w:rPr>
          <w:lang w:val="en-US"/>
        </w:rPr>
        <w:t>.</w:t>
      </w:r>
    </w:p>
    <w:p w14:paraId="32D675AA" w14:textId="6C1399C7" w:rsidR="00D84201" w:rsidRDefault="005F6AC9" w:rsidP="00740F39">
      <w:pPr>
        <w:spacing w:line="480" w:lineRule="auto"/>
        <w:ind w:firstLine="720"/>
        <w:jc w:val="both"/>
        <w:rPr>
          <w:lang w:val="en-US"/>
        </w:rPr>
      </w:pPr>
      <w:r w:rsidRPr="00AD7F67">
        <w:rPr>
          <w:lang w:val="en-US"/>
        </w:rPr>
        <w:t>Boundless</w:t>
      </w:r>
      <w:r w:rsidRPr="00D84201">
        <w:rPr>
          <w:lang w:val="en-US"/>
        </w:rPr>
        <w:t xml:space="preserve"> Energy will go with this positioning statement: For the energy drinks’ consumers who believe in effective, healthy, organic and tasty energy drinks, </w:t>
      </w:r>
      <w:r w:rsidRPr="00AD7F67">
        <w:rPr>
          <w:lang w:val="en-US"/>
        </w:rPr>
        <w:t>Boundless</w:t>
      </w:r>
      <w:r w:rsidRPr="00D84201">
        <w:rPr>
          <w:lang w:val="en-US"/>
        </w:rPr>
        <w:t xml:space="preserve"> Energy is the drink for you. It is easily accessible, meets all your health needs, and is affordable and tasty to the last drop with several flavors to choose from while giving you a differently </w:t>
      </w:r>
      <w:r w:rsidRPr="00D84201">
        <w:rPr>
          <w:lang w:val="en-US"/>
        </w:rPr>
        <w:lastRenderedPageBreak/>
        <w:t xml:space="preserve">new experience. The company will have a different experience to present to its consumers as its strategic position, which will be met by the few differences it offers in its energy drink as compared to what its competitors offer. </w:t>
      </w:r>
    </w:p>
    <w:p w14:paraId="56B456B8" w14:textId="3FF6C447" w:rsidR="00A564BA" w:rsidRDefault="005F6AC9" w:rsidP="00740F39">
      <w:pPr>
        <w:spacing w:line="480" w:lineRule="auto"/>
        <w:ind w:firstLine="720"/>
        <w:jc w:val="both"/>
        <w:rPr>
          <w:lang w:val="en-US"/>
        </w:rPr>
      </w:pPr>
      <w:r w:rsidRPr="00A564BA">
        <w:rPr>
          <w:lang w:val="en-US"/>
        </w:rPr>
        <w:t>There exists stiff competition within the soft drink industry, especially from companies such as coca-cola and Pepsi, which have a significant focus on the market based on their global network are some of the key companies, which have a substantial focus in the market. Boundless Energy will be required to focus on its creative and innovative focus on the market if there exists any significant chance that the company will be successful in the industry, which is being dominated by Coca-cola, seven eleven, and Pepsi</w:t>
      </w:r>
      <w:r w:rsidR="009A27F7">
        <w:rPr>
          <w:lang w:val="en-US"/>
        </w:rPr>
        <w:t xml:space="preserve"> </w:t>
      </w:r>
      <w:r w:rsidR="009A27F7">
        <w:rPr>
          <w:lang w:val="en-US"/>
        </w:rPr>
        <w:fldChar w:fldCharType="begin" w:fldLock="1"/>
      </w:r>
      <w:r w:rsidR="00E66374">
        <w:rPr>
          <w:lang w:val="en-US"/>
        </w:rPr>
        <w:instrText>ADDIN CSL_CITATION {"citationItems":[{"id":"ITEM-1","itemData":{"DOI":"10.1007/s11367-012-0459-y","ISSN":"09483349","abstract":"Purpose: The UK carbonated drinks sector was worth £8 billion in 2010 and is growing at an annual rate of 4.9 %. In an attempt to provide a better understanding of the environmental impacts of this sector, this paper presents, for the first time, the full life cycle impacts of carbonated soft drinks manufactured and consumed in the UK. Two functional units are considered: 1 l of packaged drink and total annual production of carbonated drinks in the UK. The latter has been used to estimate the impacts at the sectoral level. The system boundary is from 'cradle to grave'. Different packaging used for carbonated drinks is considered: glass bottles (0.75 l), aluminium cans (0.33 l) and polyethylene terephthalate (PET) bottles (0.5 and 2 l). Materials and methods: The study has been carried out following the ISO 14040/44 life cycle assessment (LCA) methodology. Data have been sourced from a drink manufacturer as well as the CCaLC, Ecoinvent and Gabi databases. The LCA software tools CCaLC v2.0 and GaBi 4.3 have been used for LCA modelling. The environmental impacts have been estimated according to the CML 2001 method. Results and discussion: Packaging is the main hotspot for most environmental impacts, contributing between 59 and 77 %. The ingredients account between 7 and 14 % mainly due to sugar; the manufacturing stage contributes 5-10 %, largely due to the energy for filling and packaging. Refrigeration of the drink at retailer increases global warming potential by up to 33 %. Transport contributes up to 7 % to the total impacts. Conclusions: The drink packaged in 2 l PET bottles is the most sustainable option for most impacts, including the carbon footprint, while the drink in glass bottles is the worst option. However, reusing glass bottles three times would make the carbon footprint of the drink in glass bottles comparable to that in aluminium cans and 0.5 l PET bottles. If recycling of PET bottles is increased to 60 %, the glass bottle would need to be reused 20 times to make their carbon footprints comparable. The estimates at the sectoral level indicate that the carbonated drinks in the UK are responsible for over 1.5 million tonnes of CO 2 eq. emissions per year. This represented 13 % of the GHG emissions from the whole food and drink sector or 0.26 % of the UK total emissions in 2010. © 2012 Springer-Verlag.","author":[{"dropping-particle":"","family":"Amienyo","given":"David","non-dropping-particle":"","parse-names":false,"suffix":""},{"dropping-particle":"","family":"Gujba","given":"Haruna","non-dropping-particle":"","parse-names":false,"suffix":""},{"dropping-particle":"","family":"Stichnothe","given":"Heinz","non-dropping-particle":"","parse-names":false,"suffix":""},{"dropping-particle":"","family":"Azapagic","given":"Adisa","non-dropping-particle":"","parse-names":false,"suffix":""}],"container-title":"International Journal of Life Cycle Assessment","id":"ITEM-1","issued":{"date-parts":[["2013"]]},"title":"Life cycle environmental impacts of carbonated soft drinks","type":"article-journal"},"uris":["http://www.mendeley.com/documents/?uuid=fd12fab0-adb4-4a1a-b669-16eab6796701"]}],"mendeley":{"formattedCitation":"(Amienyo et al., 2013)","plainTextFormattedCitation":"(Amienyo et al., 2013)","previouslyFormattedCitation":"(Amienyo &lt;i&gt;et al.&lt;/i&gt;, 2013)"},"properties":{"noteIndex":0},"schema":"https://github.com/citation-style-language/schema/raw/master/csl-citation.json"}</w:instrText>
      </w:r>
      <w:r w:rsidR="009A27F7">
        <w:rPr>
          <w:lang w:val="en-US"/>
        </w:rPr>
        <w:fldChar w:fldCharType="separate"/>
      </w:r>
      <w:r w:rsidR="009A27F7" w:rsidRPr="00E66374">
        <w:rPr>
          <w:noProof/>
          <w:lang w:val="en-US"/>
        </w:rPr>
        <w:t>(Amienyo et al., 2013)</w:t>
      </w:r>
      <w:r w:rsidR="009A27F7">
        <w:rPr>
          <w:lang w:val="en-US"/>
        </w:rPr>
        <w:fldChar w:fldCharType="end"/>
      </w:r>
      <w:r w:rsidRPr="00A564BA">
        <w:rPr>
          <w:lang w:val="en-US"/>
        </w:rPr>
        <w:t>.</w:t>
      </w:r>
    </w:p>
    <w:p w14:paraId="2EF3822F" w14:textId="4682F6BF" w:rsidR="00A721FE" w:rsidRPr="00A564BA" w:rsidRDefault="005F6AC9" w:rsidP="00740F39">
      <w:pPr>
        <w:spacing w:line="480" w:lineRule="auto"/>
        <w:ind w:firstLine="720"/>
        <w:jc w:val="both"/>
        <w:rPr>
          <w:lang w:val="en-US"/>
        </w:rPr>
      </w:pPr>
      <w:r w:rsidRPr="00A721FE">
        <w:rPr>
          <w:lang w:val="en-US"/>
        </w:rPr>
        <w:t>Consumers believe that the company has been able to resolve most of their problems within the industry, which creates an improved focus on the need to create a highly diverse market. Maximizing the size of the blue ocean is based on the ability to define significant changes that help in outlining healthy organizational outcomes.  The focus should be on the ability to integrate essential processes that can improve the company's internal development processes. The underlying concepts which are defined in this case provide a higher evaluation of crucial changes that are critical in improving the overall organizational development. The design of the company products has been based on the needs of consumers making it more successful despite the existing diverse challenges in meeting the needs of consumers within the industry</w:t>
      </w:r>
      <w:r w:rsidR="00AD54BF">
        <w:rPr>
          <w:lang w:val="en-US"/>
        </w:rPr>
        <w:t xml:space="preserve"> </w:t>
      </w:r>
      <w:r w:rsidR="00AD54BF">
        <w:rPr>
          <w:lang w:val="en-US"/>
        </w:rPr>
        <w:fldChar w:fldCharType="begin" w:fldLock="1"/>
      </w:r>
      <w:r w:rsidR="00E66374">
        <w:rPr>
          <w:lang w:val="en-US"/>
        </w:rPr>
        <w:instrText>ADDIN CSL_CITATION {"citationItems":[{"id":"ITEM-1","itemData":{"ISSN":"0035-2640","abstract":"The term \"energy drink\" designates \"any product in the form of a drink or concentrated liquid, which claims to contain a mixture of ingredients having the property to raise the level of energy and vivacity\". The main brands, Red Bull, Dark Dog, Rockstar, Burn, and Monster, are present in food stores, sports venues, and bars among other soft drinks and fruit juices. Their introduction into the French market raised many reluctances, because of the presence of taurine, caffeine and glucuronolactone. These components present in high concentrations, could be responsible for adverse effects on health. The association of energy drinks and spirits is widely found among adolescents and adults who justify drinking these mixed drinks by their desire to drink more alcohol while delaying drunkenness. Given the importance of the number of incidents reported among the energy drinks consumers, it seemed appropriate to make a synthesis of available data and to establish causal links between the use of these products and the development of health complications. For a literature review, we selected scientific articles both in English and French published between 2001 and 2011 by consulting the databases Medline, Embase, PsycINFO and Google Scholar. The words used alone or in combination are \"energy dinks\", \"caffeine\", \"taurine\", \"toxicity\", \"dependence\". An occasional to a moderate consumption of these drinks seems to present little risk for healthy adults. However, excessive consumption associated with the use of alcohol or drugs in amounts that far exceed the manufacturers recommended amount, could be responsible for negative consequences on health, particularly among subjects with cardiovascular disease.;","author":[{"dropping-particle":"","family":"Petit","given":"Aymeric","non-dropping-particle":"","parse-names":false,"suffix":""},{"dropping-particle":"","family":"Lejoyeux","given":"Michel","non-dropping-particle":"","parse-names":false,"suffix":""},{"dropping-particle":"","family":"Levy","given":"Fanny","non-dropping-particle":"","parse-names":false,"suffix":""},{"dropping-particle":"","family":"Reynaud","given":"Michel","non-dropping-particle":"","parse-names":false,"suffix":""},{"dropping-particle":"","family":"Karila","given":"Laurent","non-dropping-particle":"","parse-names":false,"suffix":""}],"container-title":"Revue du Praticien","id":"ITEM-1","issued":{"date-parts":[["2012"]]},"title":"Energy drinks: An unknown risk","type":"article-journal"},"uris":["http://www.mendeley.com/documents/?uuid=1a63c112-ea60-4474-90aa-ffd294db20e5","http://www.mendeley.com/documents/?uuid=fc352068-dd26-4a73-b8f7-fdfc00139724"]}],"mendeley":{"formattedCitation":"(Petit, Lejoyeux, Levy, Reynaud, &amp; Karila, 2012)","plainTextFormattedCitation":"(Petit, Lejoyeux, Levy, Reynaud, &amp; Karila, 2012)","previouslyFormattedCitation":"(Petit &lt;i&gt;et al.&lt;/i&gt;, 2012)"},"properties":{"noteIndex":0},"schema":"https://github.com/citation-style-language/schema/raw/master/csl-citation.json"}</w:instrText>
      </w:r>
      <w:r w:rsidR="00AD54BF">
        <w:rPr>
          <w:lang w:val="en-US"/>
        </w:rPr>
        <w:fldChar w:fldCharType="separate"/>
      </w:r>
      <w:r w:rsidR="00E66374" w:rsidRPr="00E66374">
        <w:rPr>
          <w:noProof/>
          <w:lang w:val="en-US"/>
        </w:rPr>
        <w:t>(Petit, Lejoyeux, Levy, Reynaud, &amp; Karila, 2012)</w:t>
      </w:r>
      <w:r w:rsidR="00AD54BF">
        <w:rPr>
          <w:lang w:val="en-US"/>
        </w:rPr>
        <w:fldChar w:fldCharType="end"/>
      </w:r>
      <w:r>
        <w:rPr>
          <w:lang w:val="en-US"/>
        </w:rPr>
        <w:t>.</w:t>
      </w:r>
    </w:p>
    <w:p w14:paraId="0998DB46" w14:textId="18B8ABAF" w:rsidR="00193B86" w:rsidRDefault="005F6AC9" w:rsidP="00740F39">
      <w:pPr>
        <w:spacing w:line="480" w:lineRule="auto"/>
        <w:ind w:firstLine="720"/>
        <w:jc w:val="both"/>
        <w:rPr>
          <w:lang w:val="en-US"/>
        </w:rPr>
      </w:pPr>
      <w:r>
        <w:rPr>
          <w:lang w:val="en-US"/>
        </w:rPr>
        <w:t xml:space="preserve">Swot analysis </w:t>
      </w:r>
    </w:p>
    <w:p w14:paraId="48E8D687" w14:textId="77777777" w:rsidR="00193B86" w:rsidRPr="00193B86" w:rsidRDefault="005F6AC9" w:rsidP="00740F39">
      <w:pPr>
        <w:spacing w:line="480" w:lineRule="auto"/>
        <w:ind w:firstLine="720"/>
        <w:jc w:val="both"/>
        <w:rPr>
          <w:lang w:val="en-US"/>
        </w:rPr>
      </w:pPr>
      <w:r w:rsidRPr="00193B86">
        <w:rPr>
          <w:lang w:val="en-US"/>
        </w:rPr>
        <w:t xml:space="preserve">Strengths </w:t>
      </w:r>
    </w:p>
    <w:p w14:paraId="277AD74E" w14:textId="77777777" w:rsidR="00193B86" w:rsidRPr="00193B86" w:rsidRDefault="005F6AC9" w:rsidP="00740F39">
      <w:pPr>
        <w:spacing w:line="480" w:lineRule="auto"/>
        <w:ind w:firstLine="720"/>
        <w:jc w:val="both"/>
        <w:rPr>
          <w:lang w:val="en-US"/>
        </w:rPr>
      </w:pPr>
      <w:r w:rsidRPr="00193B86">
        <w:rPr>
          <w:lang w:val="en-US"/>
        </w:rPr>
        <w:t xml:space="preserve">A vital strength of company performance is its significant focus on health. Most of the energy drinks in the market have not provided a clear focus on the health of the consumers by highlighting critical elements within the production process. The significant emphasis on </w:t>
      </w:r>
      <w:r w:rsidRPr="00193B86">
        <w:rPr>
          <w:lang w:val="en-US"/>
        </w:rPr>
        <w:lastRenderedPageBreak/>
        <w:t>natural products creates a clear environment where the company can focus on improving its performance.</w:t>
      </w:r>
    </w:p>
    <w:p w14:paraId="2EA29225" w14:textId="77777777" w:rsidR="00193B86" w:rsidRPr="00193B86" w:rsidRDefault="005F6AC9" w:rsidP="00740F39">
      <w:pPr>
        <w:spacing w:line="480" w:lineRule="auto"/>
        <w:ind w:firstLine="720"/>
        <w:jc w:val="both"/>
        <w:rPr>
          <w:lang w:val="en-US"/>
        </w:rPr>
      </w:pPr>
      <w:r w:rsidRPr="00193B86">
        <w:rPr>
          <w:lang w:val="en-US"/>
        </w:rPr>
        <w:t>The company has a reliable brand name, which significantly reflects on the company's key focus within the industry. Thus the brand name will play a significant role in influencing the company performance within the industry. Boundless Energy asserts the purpose of the product and what it entails through the provision of energy to the consumer for a more extended period.</w:t>
      </w:r>
    </w:p>
    <w:p w14:paraId="2DCD61DF" w14:textId="77777777" w:rsidR="00193B86" w:rsidRPr="00193B86" w:rsidRDefault="005F6AC9" w:rsidP="00740F39">
      <w:pPr>
        <w:spacing w:line="480" w:lineRule="auto"/>
        <w:ind w:firstLine="720"/>
        <w:jc w:val="both"/>
        <w:rPr>
          <w:lang w:val="en-US"/>
        </w:rPr>
      </w:pPr>
      <w:r w:rsidRPr="00193B86">
        <w:rPr>
          <w:lang w:val="en-US"/>
        </w:rPr>
        <w:t>Weaknesses</w:t>
      </w:r>
    </w:p>
    <w:p w14:paraId="3B3065FA" w14:textId="514753C0" w:rsidR="00193B86" w:rsidRPr="00193B86" w:rsidRDefault="005F6AC9" w:rsidP="00740F39">
      <w:pPr>
        <w:spacing w:line="480" w:lineRule="auto"/>
        <w:ind w:firstLine="720"/>
        <w:jc w:val="both"/>
        <w:rPr>
          <w:lang w:val="en-US"/>
        </w:rPr>
      </w:pPr>
      <w:r w:rsidRPr="00193B86">
        <w:rPr>
          <w:lang w:val="en-US"/>
        </w:rPr>
        <w:t xml:space="preserve">Lack of experience in the industry will be a significant weakness for the company since it will have significantly </w:t>
      </w:r>
      <w:r w:rsidR="006E41AB" w:rsidRPr="00193B86">
        <w:rPr>
          <w:lang w:val="en-US"/>
        </w:rPr>
        <w:t>developed</w:t>
      </w:r>
      <w:r w:rsidRPr="00193B86">
        <w:rPr>
          <w:lang w:val="en-US"/>
        </w:rPr>
        <w:t xml:space="preserve"> stronger strategies, which will be integrated to ensure that it is embraced within the market. It will require proving its outrageous performance and positive effects on consumers before being accepted. This might mean experiencing a few losses before starting out on generating income on the sale of the product. It is also challenging to convince restaurant managers and sports personnel of its positive attributes before seeing it work. The management team is made up of experienced personnel that will see its success</w:t>
      </w:r>
      <w:r w:rsidR="009A27F7">
        <w:rPr>
          <w:lang w:val="en-US"/>
        </w:rPr>
        <w:t xml:space="preserve"> </w:t>
      </w:r>
      <w:r w:rsidR="009A27F7">
        <w:rPr>
          <w:lang w:val="en-US"/>
        </w:rPr>
        <w:fldChar w:fldCharType="begin" w:fldLock="1"/>
      </w:r>
      <w:r w:rsidR="00E66374">
        <w:rPr>
          <w:lang w:val="en-US"/>
        </w:rPr>
        <w:instrText>ADDIN CSL_CITATION {"citationItems":[{"id":"ITEM-1","itemData":{"DOI":"10.1186/1550-2783-11-2","ISSN":"15502783","abstract":"Background: Currently, there are few studies on the cardiovascular and fatigue effects of commercially available energy drinks. This study investigated the effects of Monster energy drink (Monster Beverage Corporation, Corona, California), on resting heart rate (HR), heart rate variability (HRV), ride time-to-exhaustion, peak exercise HR, respiratory exchange ratio (RER), and peak rating of perceived exertion (RPE). Methods: The study used a double-blind, randomized, placebo controlled, crossover design. After an 8-hr fast, 15 subjects consumed Monster Energy Drink (ED standardized to 2.0 mg * kg-1 caffeine) or a flavor-matched placebo preexercise. Resting HR and HRV were determined. After an initial submaximal workload for 30 minutes, subjects completed 10 min at 80% ventilatory threshold (VT) and rode until volitional fatigue at 100% VT. Results: Resting HR was significantly different (ED: 65+/-10 bpm vs. placebo: 58+/-8 bpm, p = 0.02), but resting HRV was not different between the energy drink and placebo trials. Ride time-to-exhaustion was not significantly different between trials (ED: 45.5+/- 9.8 vs. placebo: 43.8+/-9.3 min, p = 0.62). No difference in peak RPE (ED: 9.1 +/- 0.5 vs. placebo: 9.0 +/- 0.8, p = 1.00) nor peak HR (ED: 177 +/- 11 vs. placebo: 175 +/- 12, p = 0.73) was seen. The RER at 30% of VT was significantly different (ED: 0.94 +/- 0.06 vs. placebo: 0.91 +/- 0.05, p = 0.046), but no difference between the two conditions were seen at the other intensities. Conclusion: Although preexercise ingestion of the energy drink does increase resting HR there was no alteration in HRV parameters. Ride time-to-exhaustion was not enhanced. © 2014 Nelson et al.; licensee BioMed Central Ltd.","author":[{"dropping-particle":"","family":"Nelson","given":"Michael T.","non-dropping-particle":"","parse-names":false,"suffix":""},{"dropping-particle":"","family":"Biltz","given":"George R.","non-dropping-particle":"","parse-names":false,"suffix":""},{"dropping-particle":"","family":"Dengel","given":"Donald R.","non-dropping-particle":"","parse-names":false,"suffix":""}],"container-title":"Journal of the International Society of Sports Nutrition","id":"ITEM-1","issued":{"date-parts":[["2014"]]},"title":"Cardiovascular and ride time-to-exhaustion effects of an energy drink","type":"article-journal"},"uris":["http://www.mendeley.com/documents/?uuid=ceefd85d-1a40-4210-9edc-bcb63cfdb9e1"]}],"mendeley":{"formattedCitation":"(Nelson et al., 2014)","plainTextFormattedCitation":"(Nelson et al., 2014)","previouslyFormattedCitation":"(Nelson, Biltz and Dengel, 2014)"},"properties":{"noteIndex":0},"schema":"https://github.com/citation-style-language/schema/raw/master/csl-citation.json"}</w:instrText>
      </w:r>
      <w:r w:rsidR="009A27F7">
        <w:rPr>
          <w:lang w:val="en-US"/>
        </w:rPr>
        <w:fldChar w:fldCharType="separate"/>
      </w:r>
      <w:r w:rsidR="00E66374" w:rsidRPr="00E66374">
        <w:rPr>
          <w:noProof/>
          <w:lang w:val="en-US"/>
        </w:rPr>
        <w:t>(Nelson et al., 2014)</w:t>
      </w:r>
      <w:r w:rsidR="009A27F7">
        <w:rPr>
          <w:lang w:val="en-US"/>
        </w:rPr>
        <w:fldChar w:fldCharType="end"/>
      </w:r>
      <w:r w:rsidRPr="00193B86">
        <w:rPr>
          <w:lang w:val="en-US"/>
        </w:rPr>
        <w:t xml:space="preserve">.  </w:t>
      </w:r>
    </w:p>
    <w:p w14:paraId="4AC509FA" w14:textId="77777777" w:rsidR="00193B86" w:rsidRPr="00193B86" w:rsidRDefault="005F6AC9" w:rsidP="00740F39">
      <w:pPr>
        <w:spacing w:line="480" w:lineRule="auto"/>
        <w:ind w:firstLine="720"/>
        <w:jc w:val="both"/>
        <w:rPr>
          <w:lang w:val="en-US"/>
        </w:rPr>
      </w:pPr>
      <w:r w:rsidRPr="00193B86">
        <w:rPr>
          <w:lang w:val="en-US"/>
        </w:rPr>
        <w:t xml:space="preserve">Opportunities </w:t>
      </w:r>
    </w:p>
    <w:p w14:paraId="041C93B7" w14:textId="77777777" w:rsidR="00193B86" w:rsidRPr="00193B86" w:rsidRDefault="005F6AC9" w:rsidP="00740F39">
      <w:pPr>
        <w:spacing w:line="480" w:lineRule="auto"/>
        <w:ind w:firstLine="720"/>
        <w:jc w:val="both"/>
        <w:rPr>
          <w:lang w:val="en-US"/>
        </w:rPr>
      </w:pPr>
      <w:r w:rsidRPr="00193B86">
        <w:rPr>
          <w:lang w:val="en-US"/>
        </w:rPr>
        <w:t xml:space="preserve">The industry is diverse, which offers the company an opportunity to strategically place itself in the market where it has an equal chance to succeed or fail. Several unfilled needs of the consumers will be filled by Boundless Energy products, including organic, healthy, and safe attributes in energy drinks. Most of the energy drinks are also expensive, therefore making it easy for the product to infiltrate the market with a pocket-friendly price of $43.20 for a 24 pack. Consumers are demanding products such as Boundless Energy, which meet their needs </w:t>
      </w:r>
      <w:r w:rsidRPr="00193B86">
        <w:rPr>
          <w:lang w:val="en-US"/>
        </w:rPr>
        <w:lastRenderedPageBreak/>
        <w:t>fully. The market has more demand for these products. A few of the service providers are in the smaller niches, which might be difficult at first but promising with time.</w:t>
      </w:r>
    </w:p>
    <w:p w14:paraId="575B896E" w14:textId="77777777" w:rsidR="00193B86" w:rsidRPr="00193B86" w:rsidRDefault="005F6AC9" w:rsidP="00740F39">
      <w:pPr>
        <w:spacing w:line="480" w:lineRule="auto"/>
        <w:ind w:firstLine="720"/>
        <w:jc w:val="both"/>
        <w:rPr>
          <w:lang w:val="en-US"/>
        </w:rPr>
      </w:pPr>
      <w:r w:rsidRPr="00193B86">
        <w:rPr>
          <w:lang w:val="en-US"/>
        </w:rPr>
        <w:t>Threats</w:t>
      </w:r>
    </w:p>
    <w:p w14:paraId="6DB41268" w14:textId="77777777" w:rsidR="00193B86" w:rsidRPr="00193B86" w:rsidRDefault="005F6AC9" w:rsidP="00740F39">
      <w:pPr>
        <w:spacing w:line="480" w:lineRule="auto"/>
        <w:ind w:firstLine="720"/>
        <w:jc w:val="both"/>
        <w:rPr>
          <w:lang w:val="en-US"/>
        </w:rPr>
      </w:pPr>
      <w:r w:rsidRPr="00193B86">
        <w:rPr>
          <w:lang w:val="en-US"/>
        </w:rPr>
        <w:t>A significant threat in the market, which the company will encounter is the presence of similar products in the market. Thus they will be required to ensure that they have a stronger focus in the market to have the upper hand over other similar products. The inability of consumers to differentiate the many products in the market is another threat to the company, which means that they should focus on creating a unique product, especially the appearance.</w:t>
      </w:r>
    </w:p>
    <w:p w14:paraId="686CC35C" w14:textId="77777777" w:rsidR="00D84201" w:rsidRPr="00D84201" w:rsidRDefault="005F6AC9" w:rsidP="00740F39">
      <w:pPr>
        <w:spacing w:line="480" w:lineRule="auto"/>
        <w:ind w:firstLine="720"/>
        <w:jc w:val="both"/>
        <w:rPr>
          <w:lang w:val="en-US"/>
        </w:rPr>
      </w:pPr>
      <w:r w:rsidRPr="00D84201">
        <w:rPr>
          <w:lang w:val="en-US"/>
        </w:rPr>
        <w:t>Strategic position and risk assessment</w:t>
      </w:r>
    </w:p>
    <w:p w14:paraId="2F8FA100" w14:textId="2788CC9F" w:rsidR="00D84201" w:rsidRPr="00D84201" w:rsidRDefault="005F6AC9" w:rsidP="00740F39">
      <w:pPr>
        <w:spacing w:line="480" w:lineRule="auto"/>
        <w:ind w:firstLine="720"/>
        <w:jc w:val="both"/>
        <w:rPr>
          <w:lang w:val="en-US"/>
        </w:rPr>
      </w:pPr>
      <w:r w:rsidRPr="00D84201">
        <w:rPr>
          <w:lang w:val="en-US"/>
        </w:rPr>
        <w:t xml:space="preserve">The </w:t>
      </w:r>
      <w:r w:rsidR="00AD7F67" w:rsidRPr="00AD7F67">
        <w:rPr>
          <w:lang w:val="en-US"/>
        </w:rPr>
        <w:t>Boundless</w:t>
      </w:r>
      <w:r w:rsidRPr="00D84201">
        <w:rPr>
          <w:lang w:val="en-US"/>
        </w:rPr>
        <w:t xml:space="preserve"> energy will focus on ensuring that it has a very well engaged environment within the industry through its unique product in the market. It will be integrated within the industry where there is a significant need to ensure that it is competitive. The company will, therefore, focus on several key strategies, which will be engaged to provide a clear focus where the company will be able to achieve a significant advantage in the market. Strategic positioning will put into focus many crucial elements within business development, which will ensure that the company focuses only on important strategic measures, which will ensure that the company is successful. Some of the critical aspects that will be considered in the company's strategic positioning will include its marketing and advertising within the market. Diversity within the target market engagement will ensure that the company is well engaged and reaches a wide range of consumers</w:t>
      </w:r>
      <w:r w:rsidR="009A27F7">
        <w:rPr>
          <w:lang w:val="en-US"/>
        </w:rPr>
        <w:t xml:space="preserve"> </w:t>
      </w:r>
      <w:r w:rsidR="009A27F7">
        <w:rPr>
          <w:lang w:val="en-US"/>
        </w:rPr>
        <w:fldChar w:fldCharType="begin" w:fldLock="1"/>
      </w:r>
      <w:r w:rsidR="00E66374">
        <w:rPr>
          <w:lang w:val="en-US"/>
        </w:rPr>
        <w:instrText>ADDIN CSL_CITATION {"citationItems":[{"id":"ITEM-1","itemData":{"DOI":"10.2105/AJPH.2012.300974","ISSN":"00900036","abstract":"Objectives. We estimated the relationship between soft drink consumption and obesity and diabetes worldwide. Methods. We used multivariate linear regression to estimate the association between soft drink consumption and overweight, obesity, and diabetes prevalence in 75 countries, controlling for other foods (cereals, meats, fruits and vegetables, oils, and total calories), income, urbanization, and aging. Data were obtained from the Euromonitor Global Market Information Database, the World Health Organization, and the International Diabetes Federation. Bottled water consumption, which increased with per-capita income in parallel to soft drink consumption, served as a natural control group. Results. Soft drink consumption increased globally from 9.5 gallons per person per year in 1997 to 11.4 gallons in 2010. A 1% rise in soft drink consumption was associated with an additional 4.8 overweight adults per 100 (adjusted B; 95% confidence interval [CI] = 3.1, 6.5), 2.3 obese adults per 100 (95% CI = 1.1, 3.5), and 0.3 adults with diabetes per 100 (95% CI = 0.1, 0.8). These findings remained robust in low- and middle-income countries. Conclusions. Soft drink consumption is significantly linked to overweight, obesity, and diabetes worldwide, including in low- and middle-income countries. Copyright © 2013 by the American Public Health Association®.","author":[{"dropping-particle":"","family":"Basu","given":"Sanjay","non-dropping-particle":"","parse-names":false,"suffix":""},{"dropping-particle":"","family":"McKee","given":"Martin","non-dropping-particle":"","parse-names":false,"suffix":""},{"dropping-particle":"","family":"Galea","given":"Gauden","non-dropping-particle":"","parse-names":false,"suffix":""},{"dropping-particle":"","family":"Stuckler","given":"David","non-dropping-particle":"","parse-names":false,"suffix":""}],"container-title":"American Journal of Public Health","id":"ITEM-1","issued":{"date-parts":[["2013"]]},"title":"Relationship of soft drink consumption to global overweight, obesity, and diabetes: A cross-national analysis of 75 countries","type":"article-journal"},"uris":["http://www.mendeley.com/documents/?uuid=b62f4790-dfb4-44de-a8d3-76d18c738e9b"]}],"mendeley":{"formattedCitation":"(Basu et al., 2013)","plainTextFormattedCitation":"(Basu et al., 2013)","previouslyFormattedCitation":"(Basu &lt;i&gt;et al.&lt;/i&gt;, 2013)"},"properties":{"noteIndex":0},"schema":"https://github.com/citation-style-language/schema/raw/master/csl-citation.json"}</w:instrText>
      </w:r>
      <w:r w:rsidR="009A27F7">
        <w:rPr>
          <w:lang w:val="en-US"/>
        </w:rPr>
        <w:fldChar w:fldCharType="separate"/>
      </w:r>
      <w:r w:rsidR="009A27F7" w:rsidRPr="00E66374">
        <w:rPr>
          <w:noProof/>
          <w:lang w:val="en-US"/>
        </w:rPr>
        <w:t>(Basu et al., 2013)</w:t>
      </w:r>
      <w:r w:rsidR="009A27F7">
        <w:rPr>
          <w:lang w:val="en-US"/>
        </w:rPr>
        <w:fldChar w:fldCharType="end"/>
      </w:r>
      <w:r w:rsidR="00A564BA">
        <w:rPr>
          <w:lang w:val="en-US"/>
        </w:rPr>
        <w:t>.</w:t>
      </w:r>
    </w:p>
    <w:p w14:paraId="34204B27" w14:textId="77777777" w:rsidR="00D84201" w:rsidRPr="00D84201" w:rsidRDefault="005F6AC9" w:rsidP="00740F39">
      <w:pPr>
        <w:spacing w:line="480" w:lineRule="auto"/>
        <w:ind w:firstLine="720"/>
        <w:jc w:val="both"/>
        <w:rPr>
          <w:lang w:val="en-US"/>
        </w:rPr>
      </w:pPr>
      <w:r w:rsidRPr="00D84201">
        <w:rPr>
          <w:lang w:val="en-US"/>
        </w:rPr>
        <w:t xml:space="preserve">In terms of the distribution channels, the company will embrace online marketing first so that it can market itself and get feedback in real-time. The stock will be counter-checked and stored in a rented-out container awaiting orders. Once an order is made, the customer pays up through PayPal or debit cards. The product will then be packaged and shipped, given the </w:t>
      </w:r>
      <w:r w:rsidRPr="00D84201">
        <w:rPr>
          <w:lang w:val="en-US"/>
        </w:rPr>
        <w:lastRenderedPageBreak/>
        <w:t xml:space="preserve">location details of the customer. If the person’s expectations are not met, we can send another package for re-assurance purposes. </w:t>
      </w:r>
    </w:p>
    <w:p w14:paraId="7097FBDD" w14:textId="592E7AF0" w:rsidR="00D84201" w:rsidRPr="00D84201" w:rsidRDefault="005F6AC9" w:rsidP="00740F39">
      <w:pPr>
        <w:spacing w:line="480" w:lineRule="auto"/>
        <w:ind w:firstLine="720"/>
        <w:jc w:val="both"/>
        <w:rPr>
          <w:lang w:val="en-US"/>
        </w:rPr>
      </w:pPr>
      <w:r w:rsidRPr="00D84201">
        <w:rPr>
          <w:lang w:val="en-US"/>
        </w:rPr>
        <w:t xml:space="preserve">Once there is traffic online, then the product can be taken to the grocery stores via a trusted distributor and resellers. Sports venues, restaurants, and cafes are also notable venues to be considered. The team making up the </w:t>
      </w:r>
      <w:r w:rsidR="00AD7F67" w:rsidRPr="00AD7F67">
        <w:rPr>
          <w:lang w:val="en-US"/>
        </w:rPr>
        <w:t>Boundless</w:t>
      </w:r>
      <w:r w:rsidRPr="00D84201">
        <w:rPr>
          <w:lang w:val="en-US"/>
        </w:rPr>
        <w:t xml:space="preserve"> Energy is an energized and pro-active one that works very hard to see the end goals met. Having a following online would make it easier to convince other customers and interested people of the positive effects of the product. While selling the product in person, future consumers can have a taste of the product before buying or sharing their thoughts on the product</w:t>
      </w:r>
      <w:r w:rsidR="009A27F7">
        <w:rPr>
          <w:lang w:val="en-US"/>
        </w:rPr>
        <w:t xml:space="preserve"> </w:t>
      </w:r>
      <w:r w:rsidR="009A27F7">
        <w:rPr>
          <w:lang w:val="en-US"/>
        </w:rPr>
        <w:fldChar w:fldCharType="begin" w:fldLock="1"/>
      </w:r>
      <w:r w:rsidR="00E66374">
        <w:rPr>
          <w:lang w:val="en-US"/>
        </w:rPr>
        <w:instrText>ADDIN CSL_CITATION {"citationItems":[{"id":"ITEM-1","itemData":{"DOI":"10.1186/1550-2783-11-2","ISSN":"15502783","abstract":"Background: Currently, there are few studies on the cardiovascular and fatigue effects of commercially available energy drinks. This study investigated the effects of Monster energy drink (Monster Beverage Corporation, Corona, California), on resting heart rate (HR), heart rate variability (HRV), ride time-to-exhaustion, peak exercise HR, respiratory exchange ratio (RER), and peak rating of perceived exertion (RPE). Methods: The study used a double-blind, randomized, placebo controlled, crossover design. After an 8-hr fast, 15 subjects consumed Monster Energy Drink (ED standardized to 2.0 mg * kg-1 caffeine) or a flavor-matched placebo preexercise. Resting HR and HRV were determined. After an initial submaximal workload for 30 minutes, subjects completed 10 min at 80% ventilatory threshold (VT) and rode until volitional fatigue at 100% VT. Results: Resting HR was significantly different (ED: 65+/-10 bpm vs. placebo: 58+/-8 bpm, p = 0.02), but resting HRV was not different between the energy drink and placebo trials. Ride time-to-exhaustion was not significantly different between trials (ED: 45.5+/- 9.8 vs. placebo: 43.8+/-9.3 min, p = 0.62). No difference in peak RPE (ED: 9.1 +/- 0.5 vs. placebo: 9.0 +/- 0.8, p = 1.00) nor peak HR (ED: 177 +/- 11 vs. placebo: 175 +/- 12, p = 0.73) was seen. The RER at 30% of VT was significantly different (ED: 0.94 +/- 0.06 vs. placebo: 0.91 +/- 0.05, p = 0.046), but no difference between the two conditions were seen at the other intensities. Conclusion: Although preexercise ingestion of the energy drink does increase resting HR there was no alteration in HRV parameters. Ride time-to-exhaustion was not enhanced. © 2014 Nelson et al.; licensee BioMed Central Ltd.","author":[{"dropping-particle":"","family":"Nelson","given":"Michael T.","non-dropping-particle":"","parse-names":false,"suffix":""},{"dropping-particle":"","family":"Biltz","given":"George R.","non-dropping-particle":"","parse-names":false,"suffix":""},{"dropping-particle":"","family":"Dengel","given":"Donald R.","non-dropping-particle":"","parse-names":false,"suffix":""}],"container-title":"Journal of the International Society of Sports Nutrition","id":"ITEM-1","issued":{"date-parts":[["2014"]]},"title":"Cardiovascular and ride time-to-exhaustion effects of an energy drink","type":"article-journal"},"uris":["http://www.mendeley.com/documents/?uuid=ceefd85d-1a40-4210-9edc-bcb63cfdb9e1"]}],"mendeley":{"formattedCitation":"(Nelson et al., 2014)","plainTextFormattedCitation":"(Nelson et al., 2014)","previouslyFormattedCitation":"(Nelson, Biltz and Dengel, 2014)"},"properties":{"noteIndex":0},"schema":"https://github.com/citation-style-language/schema/raw/master/csl-citation.json"}</w:instrText>
      </w:r>
      <w:r w:rsidR="009A27F7">
        <w:rPr>
          <w:lang w:val="en-US"/>
        </w:rPr>
        <w:fldChar w:fldCharType="separate"/>
      </w:r>
      <w:r w:rsidR="00E66374" w:rsidRPr="00E66374">
        <w:rPr>
          <w:noProof/>
          <w:lang w:val="en-US"/>
        </w:rPr>
        <w:t>(Nelson et al., 2014)</w:t>
      </w:r>
      <w:r w:rsidR="009A27F7">
        <w:rPr>
          <w:lang w:val="en-US"/>
        </w:rPr>
        <w:fldChar w:fldCharType="end"/>
      </w:r>
      <w:r w:rsidR="00A564BA">
        <w:rPr>
          <w:lang w:val="en-US"/>
        </w:rPr>
        <w:t>.</w:t>
      </w:r>
    </w:p>
    <w:p w14:paraId="11A64FD0" w14:textId="77777777" w:rsidR="00D84201" w:rsidRPr="00D84201" w:rsidRDefault="005F6AC9" w:rsidP="00740F39">
      <w:pPr>
        <w:spacing w:line="480" w:lineRule="auto"/>
        <w:ind w:firstLine="720"/>
        <w:jc w:val="both"/>
        <w:rPr>
          <w:lang w:val="en-US"/>
        </w:rPr>
      </w:pPr>
      <w:r w:rsidRPr="00D84201">
        <w:rPr>
          <w:lang w:val="en-US"/>
        </w:rPr>
        <w:t>Target market</w:t>
      </w:r>
    </w:p>
    <w:p w14:paraId="3450A239" w14:textId="5DBDFE8A" w:rsidR="00D84201" w:rsidRPr="00D84201" w:rsidRDefault="005F6AC9" w:rsidP="00740F39">
      <w:pPr>
        <w:spacing w:line="480" w:lineRule="auto"/>
        <w:ind w:firstLine="720"/>
        <w:jc w:val="both"/>
        <w:rPr>
          <w:lang w:val="en-US"/>
        </w:rPr>
      </w:pPr>
      <w:r w:rsidRPr="00D84201">
        <w:rPr>
          <w:lang w:val="en-US"/>
        </w:rPr>
        <w:t xml:space="preserve">When considering the target market, there are a number of considerations that need to be adequately considered in ensuring that the target market that is adopted by the company incorporates vital aspects. This will be able to adequately define the target market adequately and ensure that </w:t>
      </w:r>
      <w:r w:rsidR="00AD7F67" w:rsidRPr="00AD7F67">
        <w:rPr>
          <w:lang w:val="en-US"/>
        </w:rPr>
        <w:t>Boundless</w:t>
      </w:r>
      <w:r w:rsidRPr="00D84201">
        <w:rPr>
          <w:lang w:val="en-US"/>
        </w:rPr>
        <w:t xml:space="preserve"> Energy is well engaged and focused within the market. The target market, therefore, incorporates a broader focus on the audience that the business will focus on ensuring that they have maximum engagement within the market. Thus, the organization will focus on the number of critical consumers who will form the basis of a valid target market, which will be engaged by the company</w:t>
      </w:r>
      <w:r w:rsidR="00A564BA">
        <w:rPr>
          <w:lang w:val="en-US"/>
        </w:rPr>
        <w:t>.</w:t>
      </w:r>
      <w:r w:rsidRPr="00D84201">
        <w:rPr>
          <w:lang w:val="en-US"/>
        </w:rPr>
        <w:t xml:space="preserve"> </w:t>
      </w:r>
    </w:p>
    <w:p w14:paraId="146C3F60" w14:textId="359A8036" w:rsidR="00D84201" w:rsidRDefault="005F6AC9" w:rsidP="00740F39">
      <w:pPr>
        <w:spacing w:line="480" w:lineRule="auto"/>
        <w:ind w:firstLine="720"/>
        <w:jc w:val="both"/>
        <w:rPr>
          <w:lang w:val="en-US"/>
        </w:rPr>
      </w:pPr>
      <w:r w:rsidRPr="00D84201">
        <w:rPr>
          <w:lang w:val="en-US"/>
        </w:rPr>
        <w:t>Therefore, in ensuring that the market is significantly engaged, market segmentation is necessary. This includes grouping customers with common characteristics. This will help in developing an application that best meets each group's needs cost-effectively. This will help have a competitive edge over competitors. The key focus of the consumers will be on age, education level, income, and gender. The target consumers, therefore, will be considered into two groups, primary target market, and the secondary target market</w:t>
      </w:r>
      <w:r w:rsidR="006E41AB">
        <w:rPr>
          <w:lang w:val="en-US"/>
        </w:rPr>
        <w:t>.</w:t>
      </w:r>
      <w:r w:rsidRPr="00D84201">
        <w:rPr>
          <w:lang w:val="en-US"/>
        </w:rPr>
        <w:t xml:space="preserve"> </w:t>
      </w:r>
    </w:p>
    <w:p w14:paraId="52A3898A" w14:textId="17A0905A" w:rsidR="00A564BA" w:rsidRPr="00D84201" w:rsidRDefault="005F6AC9" w:rsidP="00740F39">
      <w:pPr>
        <w:spacing w:line="480" w:lineRule="auto"/>
        <w:ind w:firstLine="720"/>
        <w:jc w:val="both"/>
        <w:rPr>
          <w:lang w:val="en-US"/>
        </w:rPr>
      </w:pPr>
      <w:r>
        <w:rPr>
          <w:lang w:val="en-US"/>
        </w:rPr>
        <w:lastRenderedPageBreak/>
        <w:t>The target population is broad, from children to adults. There are no limits considering that the Boundless energy drink does not have any adverse outcomes. Therefore it will be essential to develop specific marketing strategies to ensure that each group is engaged. However, the primary target market</w:t>
      </w:r>
      <w:r w:rsidR="00DD76EC">
        <w:rPr>
          <w:lang w:val="en-US"/>
        </w:rPr>
        <w:t xml:space="preserve"> will include youths and young adults.</w:t>
      </w:r>
    </w:p>
    <w:p w14:paraId="1D31A582" w14:textId="77777777" w:rsidR="00D84201" w:rsidRPr="00D84201" w:rsidRDefault="005F6AC9" w:rsidP="00740F39">
      <w:pPr>
        <w:spacing w:line="480" w:lineRule="auto"/>
        <w:ind w:firstLine="720"/>
        <w:jc w:val="both"/>
        <w:rPr>
          <w:lang w:val="en-US"/>
        </w:rPr>
      </w:pPr>
      <w:r w:rsidRPr="00D84201">
        <w:rPr>
          <w:lang w:val="en-US"/>
        </w:rPr>
        <w:t xml:space="preserve">Sales strategy </w:t>
      </w:r>
    </w:p>
    <w:p w14:paraId="14A73DAD" w14:textId="77777777" w:rsidR="00D84201" w:rsidRPr="00D84201" w:rsidRDefault="005F6AC9" w:rsidP="00740F39">
      <w:pPr>
        <w:spacing w:line="480" w:lineRule="auto"/>
        <w:ind w:firstLine="720"/>
        <w:jc w:val="both"/>
        <w:rPr>
          <w:lang w:val="en-US"/>
        </w:rPr>
      </w:pPr>
      <w:r w:rsidRPr="00D84201">
        <w:rPr>
          <w:lang w:val="en-US"/>
        </w:rPr>
        <w:t>Company sales will be significantly focused upon based on the marketing strategies that will be put in place. It is crucial to ensure that the company focuses on the need to develop a clear sales strategy, which ensures that the company is engaged in the market. The sales strategy that will be involved in this case will be a flexible sales strategy where many considerations will be put in place.  Both online and retail sales will be considered and based on a well elaborate distribution strategy.</w:t>
      </w:r>
    </w:p>
    <w:p w14:paraId="6939DF8D" w14:textId="379BB869" w:rsidR="00193B86" w:rsidRDefault="005F6AC9" w:rsidP="00740F39">
      <w:pPr>
        <w:spacing w:line="480" w:lineRule="auto"/>
        <w:ind w:firstLine="720"/>
        <w:jc w:val="both"/>
        <w:rPr>
          <w:lang w:val="en-US"/>
        </w:rPr>
      </w:pPr>
      <w:r w:rsidRPr="00D84201">
        <w:rPr>
          <w:lang w:val="en"/>
        </w:rPr>
        <w:t xml:space="preserve">The wholesale distributors will be engaged to help sell in bulk to both the private and small business consumers. This will ensure product availability for households and small business sectors.   The Internet distribution system will be a very effective method for both national and international customers who want the product wherever they are. This makes the product very marketable, eliminating the intermediary and placing distribution cost (Shipping) on the customer. </w:t>
      </w:r>
      <w:r>
        <w:rPr>
          <w:lang w:val="en-US"/>
        </w:rPr>
        <w:t>The company will ensure that there is the incorporation of e-commerce strategies, which are essential in helping maintain a strong influence on business development, especially brand awareness</w:t>
      </w:r>
      <w:r w:rsidR="009A27F7">
        <w:rPr>
          <w:lang w:val="en-US"/>
        </w:rPr>
        <w:t xml:space="preserve"> </w:t>
      </w:r>
      <w:r w:rsidR="009A27F7">
        <w:rPr>
          <w:lang w:val="en-US"/>
        </w:rPr>
        <w:fldChar w:fldCharType="begin" w:fldLock="1"/>
      </w:r>
      <w:r w:rsidR="00E66374">
        <w:rPr>
          <w:lang w:val="en-US"/>
        </w:rPr>
        <w:instrText>ADDIN CSL_CITATION {"citationItems":[{"id":"ITEM-1","itemData":{"DOI":"10.2105/AJPH.2012.300974","ISSN":"00900036","abstract":"Objectives. We estimated the relationship between soft drink consumption and obesity and diabetes worldwide. Methods. We used multivariate linear regression to estimate the association between soft drink consumption and overweight, obesity, and diabetes prevalence in 75 countries, controlling for other foods (cereals, meats, fruits and vegetables, oils, and total calories), income, urbanization, and aging. Data were obtained from the Euromonitor Global Market Information Database, the World Health Organization, and the International Diabetes Federation. Bottled water consumption, which increased with per-capita income in parallel to soft drink consumption, served as a natural control group. Results. Soft drink consumption increased globally from 9.5 gallons per person per year in 1997 to 11.4 gallons in 2010. A 1% rise in soft drink consumption was associated with an additional 4.8 overweight adults per 100 (adjusted B; 95% confidence interval [CI] = 3.1, 6.5), 2.3 obese adults per 100 (95% CI = 1.1, 3.5), and 0.3 adults with diabetes per 100 (95% CI = 0.1, 0.8). These findings remained robust in low- and middle-income countries. Conclusions. Soft drink consumption is significantly linked to overweight, obesity, and diabetes worldwide, including in low- and middle-income countries. Copyright © 2013 by the American Public Health Association®.","author":[{"dropping-particle":"","family":"Basu","given":"Sanjay","non-dropping-particle":"","parse-names":false,"suffix":""},{"dropping-particle":"","family":"McKee","given":"Martin","non-dropping-particle":"","parse-names":false,"suffix":""},{"dropping-particle":"","family":"Galea","given":"Gauden","non-dropping-particle":"","parse-names":false,"suffix":""},{"dropping-particle":"","family":"Stuckler","given":"David","non-dropping-particle":"","parse-names":false,"suffix":""}],"container-title":"American Journal of Public Health","id":"ITEM-1","issued":{"date-parts":[["2013"]]},"title":"Relationship of soft drink consumption to global overweight, obesity, and diabetes: A cross-national analysis of 75 countries","type":"article-journal"},"uris":["http://www.mendeley.com/documents/?uuid=b62f4790-dfb4-44de-a8d3-76d18c738e9b"]}],"mendeley":{"formattedCitation":"(Basu et al., 2013)","plainTextFormattedCitation":"(Basu et al., 2013)","previouslyFormattedCitation":"(Basu &lt;i&gt;et al.&lt;/i&gt;, 2013)"},"properties":{"noteIndex":0},"schema":"https://github.com/citation-style-language/schema/raw/master/csl-citation.json"}</w:instrText>
      </w:r>
      <w:r w:rsidR="009A27F7">
        <w:rPr>
          <w:lang w:val="en-US"/>
        </w:rPr>
        <w:fldChar w:fldCharType="separate"/>
      </w:r>
      <w:r w:rsidR="009A27F7" w:rsidRPr="00E66374">
        <w:rPr>
          <w:noProof/>
          <w:lang w:val="en-US"/>
        </w:rPr>
        <w:t>(Basu et al., 2013)</w:t>
      </w:r>
      <w:r w:rsidR="009A27F7">
        <w:rPr>
          <w:lang w:val="en-US"/>
        </w:rPr>
        <w:fldChar w:fldCharType="end"/>
      </w:r>
      <w:r>
        <w:rPr>
          <w:lang w:val="en-US"/>
        </w:rPr>
        <w:t>.</w:t>
      </w:r>
    </w:p>
    <w:p w14:paraId="1B8C5BF8" w14:textId="77777777" w:rsidR="00D84201" w:rsidRPr="00D84201" w:rsidRDefault="005F6AC9" w:rsidP="00740F39">
      <w:pPr>
        <w:spacing w:line="480" w:lineRule="auto"/>
        <w:ind w:firstLine="720"/>
        <w:jc w:val="both"/>
        <w:rPr>
          <w:bCs/>
          <w:lang w:val="en-US"/>
        </w:rPr>
      </w:pPr>
      <w:r w:rsidRPr="00D84201">
        <w:rPr>
          <w:bCs/>
          <w:lang w:val="en-US"/>
        </w:rPr>
        <w:t>Sources of Funding</w:t>
      </w:r>
    </w:p>
    <w:p w14:paraId="78E8BC19" w14:textId="74B3B6FD" w:rsidR="00193B86" w:rsidRDefault="005F6AC9" w:rsidP="00740F39">
      <w:pPr>
        <w:spacing w:line="480" w:lineRule="auto"/>
        <w:ind w:firstLine="720"/>
        <w:jc w:val="both"/>
        <w:rPr>
          <w:lang w:val="en-US"/>
        </w:rPr>
      </w:pPr>
      <w:r>
        <w:rPr>
          <w:lang w:val="en-US"/>
        </w:rPr>
        <w:t xml:space="preserve">The company has a strong financial presence in the market. This means that the company will focus on capital from its expansion strategy fund and this new innovation. However, the company will also seek external funding through the sale of shares to investors who are convinced of this new idea within the industry.  A Risk assessment will be conducted </w:t>
      </w:r>
      <w:r>
        <w:rPr>
          <w:lang w:val="en-US"/>
        </w:rPr>
        <w:lastRenderedPageBreak/>
        <w:t xml:space="preserve">to ensure that there is a strong structure that provides a highly engaged environment that focuses on meeting the existing customer needs as well as generating income for the company. </w:t>
      </w:r>
      <w:r w:rsidR="00D84201" w:rsidRPr="00D84201">
        <w:rPr>
          <w:lang w:val="en-US"/>
        </w:rPr>
        <w:tab/>
      </w:r>
    </w:p>
    <w:p w14:paraId="2D7FF56B" w14:textId="6D7EEE7F" w:rsidR="00193B86" w:rsidRDefault="005F6AC9" w:rsidP="00740F39">
      <w:pPr>
        <w:spacing w:line="480" w:lineRule="auto"/>
        <w:ind w:firstLine="720"/>
        <w:jc w:val="both"/>
        <w:rPr>
          <w:lang w:val="en-US"/>
        </w:rPr>
      </w:pPr>
      <w:r>
        <w:rPr>
          <w:lang w:val="en-US"/>
        </w:rPr>
        <w:t>Financial projections</w:t>
      </w:r>
    </w:p>
    <w:p w14:paraId="2F9D11FA" w14:textId="16020F71" w:rsidR="00D84201" w:rsidRPr="00D84201" w:rsidRDefault="005F6AC9" w:rsidP="00740F39">
      <w:pPr>
        <w:spacing w:line="480" w:lineRule="auto"/>
        <w:ind w:firstLine="720"/>
        <w:jc w:val="both"/>
        <w:rPr>
          <w:bCs/>
          <w:lang w:val="en-US"/>
        </w:rPr>
      </w:pPr>
      <w:r>
        <w:rPr>
          <w:lang w:val="en-US"/>
        </w:rPr>
        <w:t xml:space="preserve">The financial projection will focus on </w:t>
      </w:r>
      <w:r w:rsidR="00903E3A">
        <w:rPr>
          <w:lang w:val="en-US"/>
        </w:rPr>
        <w:t xml:space="preserve">understanding the cash flow as well as the expenses. The financial projections will be calculated within a four-quarter period, which constitutes one year. The assessment will be made after one year to determine whether the brand is profitable. The one-year cash flow will provide a strong estimate </w:t>
      </w:r>
      <w:r w:rsidR="006E41AB">
        <w:rPr>
          <w:lang w:val="en-US"/>
        </w:rPr>
        <w:t>of different elements that help define an improved level of development. The estimates will be developed, as shown below:</w:t>
      </w:r>
    </w:p>
    <w:tbl>
      <w:tblPr>
        <w:tblStyle w:val="TableGrid"/>
        <w:tblW w:w="0" w:type="auto"/>
        <w:tblLook w:val="04A0" w:firstRow="1" w:lastRow="0" w:firstColumn="1" w:lastColumn="0" w:noHBand="0" w:noVBand="1"/>
      </w:tblPr>
      <w:tblGrid>
        <w:gridCol w:w="2999"/>
        <w:gridCol w:w="3012"/>
        <w:gridCol w:w="3005"/>
      </w:tblGrid>
      <w:tr w:rsidR="006E7E30" w14:paraId="05CA8D0D" w14:textId="77777777" w:rsidTr="00C10D36">
        <w:tc>
          <w:tcPr>
            <w:tcW w:w="3116" w:type="dxa"/>
          </w:tcPr>
          <w:p w14:paraId="37C767DB" w14:textId="77777777" w:rsidR="00D84201" w:rsidRPr="00D84201" w:rsidRDefault="005F6AC9" w:rsidP="00D84201">
            <w:pPr>
              <w:spacing w:after="160" w:line="259" w:lineRule="auto"/>
              <w:jc w:val="both"/>
              <w:rPr>
                <w:lang w:val="en-US"/>
              </w:rPr>
            </w:pPr>
            <w:r w:rsidRPr="00D84201">
              <w:rPr>
                <w:lang w:val="en-US"/>
              </w:rPr>
              <w:t xml:space="preserve">Period </w:t>
            </w:r>
          </w:p>
        </w:tc>
        <w:tc>
          <w:tcPr>
            <w:tcW w:w="3117" w:type="dxa"/>
          </w:tcPr>
          <w:p w14:paraId="77E813B2" w14:textId="77777777" w:rsidR="00D84201" w:rsidRPr="00D84201" w:rsidRDefault="005F6AC9" w:rsidP="00D84201">
            <w:pPr>
              <w:spacing w:after="160" w:line="259" w:lineRule="auto"/>
              <w:jc w:val="both"/>
              <w:rPr>
                <w:lang w:val="en-US"/>
              </w:rPr>
            </w:pPr>
            <w:r w:rsidRPr="00D84201">
              <w:rPr>
                <w:lang w:val="en-US"/>
              </w:rPr>
              <w:t>Total Expenses ($)</w:t>
            </w:r>
          </w:p>
        </w:tc>
        <w:tc>
          <w:tcPr>
            <w:tcW w:w="3117" w:type="dxa"/>
          </w:tcPr>
          <w:p w14:paraId="1D489D62" w14:textId="77777777" w:rsidR="00D84201" w:rsidRPr="00D84201" w:rsidRDefault="005F6AC9" w:rsidP="00D84201">
            <w:pPr>
              <w:spacing w:after="160" w:line="259" w:lineRule="auto"/>
              <w:jc w:val="both"/>
              <w:rPr>
                <w:lang w:val="en-US"/>
              </w:rPr>
            </w:pPr>
            <w:r w:rsidRPr="00D84201">
              <w:rPr>
                <w:lang w:val="en-US"/>
              </w:rPr>
              <w:t>Income  ($)</w:t>
            </w:r>
          </w:p>
        </w:tc>
      </w:tr>
      <w:tr w:rsidR="006E7E30" w14:paraId="3CE2B909" w14:textId="77777777" w:rsidTr="00C10D36">
        <w:tc>
          <w:tcPr>
            <w:tcW w:w="3116" w:type="dxa"/>
          </w:tcPr>
          <w:p w14:paraId="4691D409" w14:textId="77777777" w:rsidR="00D84201" w:rsidRPr="00D84201" w:rsidRDefault="005F6AC9" w:rsidP="00D84201">
            <w:pPr>
              <w:spacing w:after="160" w:line="259" w:lineRule="auto"/>
              <w:jc w:val="both"/>
              <w:rPr>
                <w:lang w:val="en-US"/>
              </w:rPr>
            </w:pPr>
            <w:r w:rsidRPr="00D84201">
              <w:rPr>
                <w:lang w:val="en-US"/>
              </w:rPr>
              <w:t>1</w:t>
            </w:r>
            <w:r w:rsidRPr="00D84201">
              <w:rPr>
                <w:vertAlign w:val="superscript"/>
                <w:lang w:val="en-US"/>
              </w:rPr>
              <w:t>st</w:t>
            </w:r>
            <w:r w:rsidRPr="00D84201">
              <w:rPr>
                <w:lang w:val="en-US"/>
              </w:rPr>
              <w:t xml:space="preserve"> Years</w:t>
            </w:r>
          </w:p>
          <w:p w14:paraId="63802C78" w14:textId="77777777" w:rsidR="00D84201" w:rsidRPr="00D84201" w:rsidRDefault="005F6AC9" w:rsidP="00D84201">
            <w:pPr>
              <w:spacing w:after="160" w:line="259" w:lineRule="auto"/>
              <w:jc w:val="both"/>
              <w:rPr>
                <w:lang w:val="en-US"/>
              </w:rPr>
            </w:pPr>
            <w:r w:rsidRPr="00D84201">
              <w:rPr>
                <w:lang w:val="en-US"/>
              </w:rPr>
              <w:t>1</w:t>
            </w:r>
            <w:r w:rsidRPr="00D84201">
              <w:rPr>
                <w:vertAlign w:val="superscript"/>
                <w:lang w:val="en-US"/>
              </w:rPr>
              <w:t>st</w:t>
            </w:r>
            <w:r w:rsidRPr="00D84201">
              <w:rPr>
                <w:lang w:val="en-US"/>
              </w:rPr>
              <w:t xml:space="preserve"> quarter </w:t>
            </w:r>
          </w:p>
          <w:p w14:paraId="4736D135" w14:textId="77777777" w:rsidR="00D84201" w:rsidRPr="00D84201" w:rsidRDefault="005F6AC9" w:rsidP="00D84201">
            <w:pPr>
              <w:spacing w:after="160" w:line="259" w:lineRule="auto"/>
              <w:jc w:val="both"/>
              <w:rPr>
                <w:lang w:val="en-US"/>
              </w:rPr>
            </w:pPr>
            <w:r w:rsidRPr="00D84201">
              <w:rPr>
                <w:lang w:val="en-US"/>
              </w:rPr>
              <w:t>2</w:t>
            </w:r>
            <w:r w:rsidRPr="00D84201">
              <w:rPr>
                <w:vertAlign w:val="superscript"/>
                <w:lang w:val="en-US"/>
              </w:rPr>
              <w:t>nd</w:t>
            </w:r>
            <w:r w:rsidRPr="00D84201">
              <w:rPr>
                <w:lang w:val="en-US"/>
              </w:rPr>
              <w:t xml:space="preserve"> quarter </w:t>
            </w:r>
          </w:p>
          <w:p w14:paraId="1D04C163" w14:textId="77777777" w:rsidR="00D84201" w:rsidRPr="00D84201" w:rsidRDefault="005F6AC9" w:rsidP="00D84201">
            <w:pPr>
              <w:spacing w:after="160" w:line="259" w:lineRule="auto"/>
              <w:jc w:val="both"/>
              <w:rPr>
                <w:lang w:val="en-US"/>
              </w:rPr>
            </w:pPr>
            <w:r w:rsidRPr="00D84201">
              <w:rPr>
                <w:lang w:val="en-US"/>
              </w:rPr>
              <w:t>3</w:t>
            </w:r>
            <w:r w:rsidRPr="00D84201">
              <w:rPr>
                <w:vertAlign w:val="superscript"/>
                <w:lang w:val="en-US"/>
              </w:rPr>
              <w:t>rd</w:t>
            </w:r>
            <w:r w:rsidRPr="00D84201">
              <w:rPr>
                <w:lang w:val="en-US"/>
              </w:rPr>
              <w:t xml:space="preserve"> quarter </w:t>
            </w:r>
          </w:p>
          <w:p w14:paraId="5A7BB25A" w14:textId="77777777" w:rsidR="00D84201" w:rsidRPr="00D84201" w:rsidRDefault="005F6AC9" w:rsidP="00D84201">
            <w:pPr>
              <w:spacing w:after="160" w:line="259" w:lineRule="auto"/>
              <w:jc w:val="both"/>
              <w:rPr>
                <w:lang w:val="en-US"/>
              </w:rPr>
            </w:pPr>
            <w:r w:rsidRPr="00D84201">
              <w:rPr>
                <w:lang w:val="en-US"/>
              </w:rPr>
              <w:t>4</w:t>
            </w:r>
            <w:r w:rsidRPr="00D84201">
              <w:rPr>
                <w:vertAlign w:val="superscript"/>
                <w:lang w:val="en-US"/>
              </w:rPr>
              <w:t>th</w:t>
            </w:r>
            <w:r w:rsidRPr="00D84201">
              <w:rPr>
                <w:lang w:val="en-US"/>
              </w:rPr>
              <w:t xml:space="preserve"> quarter </w:t>
            </w:r>
          </w:p>
        </w:tc>
        <w:tc>
          <w:tcPr>
            <w:tcW w:w="3117" w:type="dxa"/>
          </w:tcPr>
          <w:p w14:paraId="56761A29" w14:textId="77777777" w:rsidR="00D84201" w:rsidRPr="00D84201" w:rsidRDefault="00D84201" w:rsidP="00D84201">
            <w:pPr>
              <w:spacing w:after="160" w:line="259" w:lineRule="auto"/>
              <w:jc w:val="both"/>
              <w:rPr>
                <w:lang w:val="en-US"/>
              </w:rPr>
            </w:pPr>
          </w:p>
          <w:p w14:paraId="0BD66D37" w14:textId="77777777" w:rsidR="00D84201" w:rsidRPr="00D84201" w:rsidRDefault="005F6AC9" w:rsidP="00D84201">
            <w:pPr>
              <w:spacing w:after="160" w:line="259" w:lineRule="auto"/>
              <w:jc w:val="both"/>
              <w:rPr>
                <w:lang w:val="en-US"/>
              </w:rPr>
            </w:pPr>
            <w:r w:rsidRPr="00D84201">
              <w:rPr>
                <w:lang w:val="en-US"/>
              </w:rPr>
              <w:t>300,000</w:t>
            </w:r>
          </w:p>
          <w:p w14:paraId="3C28940C" w14:textId="77777777" w:rsidR="00D84201" w:rsidRPr="00D84201" w:rsidRDefault="005F6AC9" w:rsidP="00D84201">
            <w:pPr>
              <w:spacing w:after="160" w:line="259" w:lineRule="auto"/>
              <w:jc w:val="both"/>
              <w:rPr>
                <w:lang w:val="en-US"/>
              </w:rPr>
            </w:pPr>
            <w:r w:rsidRPr="00D84201">
              <w:rPr>
                <w:lang w:val="en-US"/>
              </w:rPr>
              <w:t>250,000</w:t>
            </w:r>
          </w:p>
          <w:p w14:paraId="7BC46B9E" w14:textId="77777777" w:rsidR="00D84201" w:rsidRPr="00D84201" w:rsidRDefault="005F6AC9" w:rsidP="00D84201">
            <w:pPr>
              <w:spacing w:after="160" w:line="259" w:lineRule="auto"/>
              <w:jc w:val="both"/>
              <w:rPr>
                <w:lang w:val="en-US"/>
              </w:rPr>
            </w:pPr>
            <w:r w:rsidRPr="00D84201">
              <w:rPr>
                <w:lang w:val="en-US"/>
              </w:rPr>
              <w:t>250,000</w:t>
            </w:r>
          </w:p>
          <w:p w14:paraId="396195BE" w14:textId="77777777" w:rsidR="00D84201" w:rsidRPr="00D84201" w:rsidRDefault="005F6AC9" w:rsidP="00D84201">
            <w:pPr>
              <w:spacing w:after="160" w:line="259" w:lineRule="auto"/>
              <w:jc w:val="both"/>
              <w:rPr>
                <w:lang w:val="en-US"/>
              </w:rPr>
            </w:pPr>
            <w:r w:rsidRPr="00D84201">
              <w:rPr>
                <w:lang w:val="en-US"/>
              </w:rPr>
              <w:t>200,000</w:t>
            </w:r>
          </w:p>
        </w:tc>
        <w:tc>
          <w:tcPr>
            <w:tcW w:w="3117" w:type="dxa"/>
          </w:tcPr>
          <w:p w14:paraId="6FBA71E9" w14:textId="77777777" w:rsidR="00D84201" w:rsidRPr="00D84201" w:rsidRDefault="00D84201" w:rsidP="00D84201">
            <w:pPr>
              <w:spacing w:after="160" w:line="259" w:lineRule="auto"/>
              <w:jc w:val="both"/>
              <w:rPr>
                <w:lang w:val="en-US"/>
              </w:rPr>
            </w:pPr>
          </w:p>
          <w:p w14:paraId="5EB0FA51" w14:textId="77777777" w:rsidR="00D84201" w:rsidRPr="00D84201" w:rsidRDefault="005F6AC9" w:rsidP="00D84201">
            <w:pPr>
              <w:spacing w:after="160" w:line="259" w:lineRule="auto"/>
              <w:jc w:val="both"/>
              <w:rPr>
                <w:lang w:val="en-US"/>
              </w:rPr>
            </w:pPr>
            <w:r w:rsidRPr="00D84201">
              <w:rPr>
                <w:lang w:val="en-US"/>
              </w:rPr>
              <w:t>50,000</w:t>
            </w:r>
          </w:p>
          <w:p w14:paraId="467FED3C" w14:textId="77777777" w:rsidR="00D84201" w:rsidRPr="00D84201" w:rsidRDefault="005F6AC9" w:rsidP="00D84201">
            <w:pPr>
              <w:spacing w:after="160" w:line="259" w:lineRule="auto"/>
              <w:jc w:val="both"/>
              <w:rPr>
                <w:lang w:val="en-US"/>
              </w:rPr>
            </w:pPr>
            <w:r w:rsidRPr="00D84201">
              <w:rPr>
                <w:lang w:val="en-US"/>
              </w:rPr>
              <w:t>120,000</w:t>
            </w:r>
          </w:p>
          <w:p w14:paraId="34BD01A5" w14:textId="77777777" w:rsidR="00D84201" w:rsidRPr="00D84201" w:rsidRDefault="005F6AC9" w:rsidP="00D84201">
            <w:pPr>
              <w:spacing w:after="160" w:line="259" w:lineRule="auto"/>
              <w:jc w:val="both"/>
              <w:rPr>
                <w:lang w:val="en-US"/>
              </w:rPr>
            </w:pPr>
            <w:r w:rsidRPr="00D84201">
              <w:rPr>
                <w:lang w:val="en-US"/>
              </w:rPr>
              <w:t>230,000</w:t>
            </w:r>
          </w:p>
          <w:p w14:paraId="51F4F187" w14:textId="77777777" w:rsidR="00D84201" w:rsidRPr="00D84201" w:rsidRDefault="005F6AC9" w:rsidP="00D84201">
            <w:pPr>
              <w:spacing w:after="160" w:line="259" w:lineRule="auto"/>
              <w:jc w:val="both"/>
              <w:rPr>
                <w:lang w:val="en-US"/>
              </w:rPr>
            </w:pPr>
            <w:r w:rsidRPr="00D84201">
              <w:rPr>
                <w:lang w:val="en-US"/>
              </w:rPr>
              <w:t>200,000</w:t>
            </w:r>
          </w:p>
        </w:tc>
      </w:tr>
    </w:tbl>
    <w:p w14:paraId="5772168F" w14:textId="77777777" w:rsidR="00D84201" w:rsidRDefault="00D84201" w:rsidP="00D84201">
      <w:pPr>
        <w:jc w:val="both"/>
        <w:rPr>
          <w:lang w:val="en-US"/>
        </w:rPr>
      </w:pPr>
    </w:p>
    <w:p w14:paraId="226EA321" w14:textId="20B132BA" w:rsidR="006E41AB" w:rsidRDefault="005F6AC9" w:rsidP="00846371">
      <w:pPr>
        <w:spacing w:line="480" w:lineRule="auto"/>
        <w:ind w:firstLine="720"/>
        <w:jc w:val="both"/>
        <w:rPr>
          <w:lang w:val="en-US"/>
        </w:rPr>
      </w:pPr>
      <w:r w:rsidRPr="006E41AB">
        <w:rPr>
          <w:lang w:val="en-US"/>
        </w:rPr>
        <w:t xml:space="preserve">The business will be significantly engaged within the soft drink energy. The Boundless energy company will be substantially involved in the soft drink non-alcoholic industry. The focus of the company will be significant within the existing market and thus will thrive based on the critical, innovative, and creative strategies, which will serve as a fundamental driving force of the company. The focus of the company is based on the production of energy soft drinks, which gives consumer energy that stays for longer periods without exhaustion as well as ensuring that it capitalizes on the critical negative influences of the already existing energy soft drink products in the industry.  Some of the existing products in the market have reported fatal effects if consumed in large quantities. The focus of the company products will be </w:t>
      </w:r>
      <w:r w:rsidRPr="006E41AB">
        <w:rPr>
          <w:lang w:val="en-US"/>
        </w:rPr>
        <w:lastRenderedPageBreak/>
        <w:t xml:space="preserve">significantly based on natural products, which will ensure that it eliminates the uncertainties of chemicals that are used in the production process. </w:t>
      </w:r>
    </w:p>
    <w:p w14:paraId="48F3BEB2" w14:textId="5FBC50A8" w:rsidR="00A721FE" w:rsidRDefault="005F6AC9" w:rsidP="00846371">
      <w:pPr>
        <w:spacing w:line="480" w:lineRule="auto"/>
        <w:ind w:firstLine="720"/>
        <w:jc w:val="both"/>
        <w:rPr>
          <w:lang w:val="en-US"/>
        </w:rPr>
      </w:pPr>
      <w:r>
        <w:rPr>
          <w:lang w:val="en-US"/>
        </w:rPr>
        <w:t xml:space="preserve">Effective product management of the product will be essential in defining a stronger level of business development. The company has a strong level of management, which will provide a higher emphasis on better processes that help ensure that there is a better operational strategy to help improve the ability to have success. </w:t>
      </w:r>
      <w:r w:rsidRPr="00A721FE">
        <w:rPr>
          <w:lang w:val="en-US"/>
        </w:rPr>
        <w:t>The current beverage and soft drink market have been primarily dominated by-products that have adverse effects on consumers. There has been a strong consideration regarding the need to develop healthy products into the market, which can have a positive influence on the quality of life of consumers.</w:t>
      </w:r>
    </w:p>
    <w:p w14:paraId="566F1452" w14:textId="77777777" w:rsidR="00A721FE" w:rsidRPr="006E41AB" w:rsidRDefault="00A721FE" w:rsidP="006E41AB">
      <w:pPr>
        <w:jc w:val="both"/>
        <w:rPr>
          <w:lang w:val="en-US"/>
        </w:rPr>
      </w:pPr>
    </w:p>
    <w:p w14:paraId="3CCA01A8" w14:textId="77777777" w:rsidR="00D84201" w:rsidRDefault="00D84201" w:rsidP="00D84201">
      <w:pPr>
        <w:jc w:val="both"/>
      </w:pPr>
    </w:p>
    <w:sectPr w:rsidR="00D84201" w:rsidSect="00A721F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80A2B" w14:textId="77777777" w:rsidR="000A4C71" w:rsidRDefault="000A4C71">
      <w:pPr>
        <w:spacing w:after="0" w:line="240" w:lineRule="auto"/>
      </w:pPr>
      <w:r>
        <w:separator/>
      </w:r>
    </w:p>
  </w:endnote>
  <w:endnote w:type="continuationSeparator" w:id="0">
    <w:p w14:paraId="57D545AE" w14:textId="77777777" w:rsidR="000A4C71" w:rsidRDefault="000A4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8A5E5" w14:textId="77777777" w:rsidR="000A4C71" w:rsidRDefault="000A4C71">
      <w:pPr>
        <w:spacing w:after="0" w:line="240" w:lineRule="auto"/>
      </w:pPr>
      <w:r>
        <w:separator/>
      </w:r>
    </w:p>
  </w:footnote>
  <w:footnote w:type="continuationSeparator" w:id="0">
    <w:p w14:paraId="240C993F" w14:textId="77777777" w:rsidR="000A4C71" w:rsidRDefault="000A4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7F41" w14:textId="73DAC845" w:rsidR="00A721FE" w:rsidRDefault="005F6AC9">
    <w:pPr>
      <w:pStyle w:val="Header"/>
      <w:jc w:val="right"/>
    </w:pPr>
    <w:r w:rsidRPr="00A721FE">
      <w:rPr>
        <w:lang w:val="en-US"/>
      </w:rPr>
      <w:t xml:space="preserve">BOUNDLESS ENERGY DRINK BUSINESS PLAN  </w:t>
    </w:r>
    <w:r>
      <w:rPr>
        <w:lang w:val="en-US"/>
      </w:rPr>
      <w:t xml:space="preserve">                                                </w:t>
    </w:r>
    <w:sdt>
      <w:sdtPr>
        <w:id w:val="14490398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C76602" w14:textId="77777777" w:rsidR="00A721FE" w:rsidRDefault="00A72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AB578" w14:textId="567DAAC3" w:rsidR="00A721FE" w:rsidRDefault="005F6AC9">
    <w:pPr>
      <w:pStyle w:val="Header"/>
      <w:jc w:val="right"/>
    </w:pPr>
    <w:r>
      <w:rPr>
        <w:lang w:val="en-US"/>
      </w:rPr>
      <w:t xml:space="preserve">Running head: </w:t>
    </w:r>
    <w:r w:rsidRPr="00A721FE">
      <w:rPr>
        <w:lang w:val="en-US"/>
      </w:rPr>
      <w:t>BOUNDLESS ENERGY DRINK BUSINESS PLAN</w:t>
    </w:r>
    <w:r>
      <w:rPr>
        <w:lang w:val="en-US"/>
      </w:rPr>
      <w:t xml:space="preserve">                                  </w:t>
    </w:r>
    <w:sdt>
      <w:sdtPr>
        <w:id w:val="-12764067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32CC53" w14:textId="77777777" w:rsidR="00A721FE" w:rsidRDefault="00A72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zMrI0NzAxMTc1sDBV0lEKTi0uzszPAykwrAUAKqWVGCwAAAA="/>
  </w:docVars>
  <w:rsids>
    <w:rsidRoot w:val="00D84201"/>
    <w:rsid w:val="000165EB"/>
    <w:rsid w:val="000A4C71"/>
    <w:rsid w:val="000C7956"/>
    <w:rsid w:val="00193B86"/>
    <w:rsid w:val="004202C5"/>
    <w:rsid w:val="005F6AC9"/>
    <w:rsid w:val="006E41AB"/>
    <w:rsid w:val="006E7E30"/>
    <w:rsid w:val="00740F39"/>
    <w:rsid w:val="00846371"/>
    <w:rsid w:val="00854E15"/>
    <w:rsid w:val="00903E3A"/>
    <w:rsid w:val="00975428"/>
    <w:rsid w:val="009A27F7"/>
    <w:rsid w:val="00A3409E"/>
    <w:rsid w:val="00A564BA"/>
    <w:rsid w:val="00A721FE"/>
    <w:rsid w:val="00AD288D"/>
    <w:rsid w:val="00AD54BF"/>
    <w:rsid w:val="00AD7F67"/>
    <w:rsid w:val="00AE3492"/>
    <w:rsid w:val="00AE689A"/>
    <w:rsid w:val="00BE4605"/>
    <w:rsid w:val="00D346CE"/>
    <w:rsid w:val="00D84201"/>
    <w:rsid w:val="00DD76EC"/>
    <w:rsid w:val="00E6637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7D883-D36B-45ED-9820-51D61CE4E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5428"/>
    <w:rPr>
      <w:color w:val="0563C1" w:themeColor="hyperlink"/>
      <w:u w:val="single"/>
    </w:rPr>
  </w:style>
  <w:style w:type="character" w:customStyle="1" w:styleId="UnresolvedMention1">
    <w:name w:val="Unresolved Mention1"/>
    <w:basedOn w:val="DefaultParagraphFont"/>
    <w:uiPriority w:val="99"/>
    <w:semiHidden/>
    <w:unhideWhenUsed/>
    <w:rsid w:val="00975428"/>
    <w:rPr>
      <w:color w:val="605E5C"/>
      <w:shd w:val="clear" w:color="auto" w:fill="E1DFDD"/>
    </w:rPr>
  </w:style>
  <w:style w:type="paragraph" w:styleId="Header">
    <w:name w:val="header"/>
    <w:basedOn w:val="Normal"/>
    <w:link w:val="HeaderChar"/>
    <w:uiPriority w:val="99"/>
    <w:unhideWhenUsed/>
    <w:rsid w:val="00A72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1FE"/>
  </w:style>
  <w:style w:type="paragraph" w:styleId="Footer">
    <w:name w:val="footer"/>
    <w:basedOn w:val="Normal"/>
    <w:link w:val="FooterChar"/>
    <w:uiPriority w:val="99"/>
    <w:unhideWhenUsed/>
    <w:rsid w:val="00A72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B411D-5EAA-4958-9789-F8EE203E2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8330</Words>
  <Characters>47484</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2019-12-12T11:16:00Z</dcterms:created>
  <dcterms:modified xsi:type="dcterms:W3CDTF">2019-12-12T11:16:00Z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